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B89999" w14:textId="5D826801" w:rsidR="006E297D" w:rsidRDefault="00895780">
      <w:pPr>
        <w:pStyle w:val="3GPPHeader"/>
        <w:rPr>
          <w:highlight w:val="yellow"/>
          <w:lang w:val="en-US"/>
        </w:rPr>
      </w:pPr>
      <w:r>
        <w:rPr>
          <w:lang w:val="en-US"/>
        </w:rPr>
        <w:t>3GPP TSG RAN WG1 Meeting #92</w:t>
      </w:r>
      <w:r>
        <w:rPr>
          <w:lang w:val="en-US"/>
        </w:rPr>
        <w:tab/>
      </w:r>
      <w:r w:rsidRPr="008C782F">
        <w:rPr>
          <w:lang w:val="en-US"/>
        </w:rPr>
        <w:t>R1-</w:t>
      </w:r>
      <w:r w:rsidR="008C782F" w:rsidRPr="008C782F">
        <w:rPr>
          <w:lang w:val="en-US"/>
        </w:rPr>
        <w:t>180</w:t>
      </w:r>
      <w:r w:rsidR="00ED62D7">
        <w:rPr>
          <w:lang w:val="en-US"/>
        </w:rPr>
        <w:t>345</w:t>
      </w:r>
      <w:r w:rsidR="00576931">
        <w:rPr>
          <w:lang w:val="en-US"/>
        </w:rPr>
        <w:t>3</w:t>
      </w:r>
    </w:p>
    <w:p w14:paraId="0AE98975" w14:textId="77777777" w:rsidR="006E297D" w:rsidRDefault="00895780">
      <w:pPr>
        <w:pStyle w:val="3GPPHeader"/>
        <w:rPr>
          <w:lang w:val="en-US"/>
        </w:rPr>
      </w:pPr>
      <w:r>
        <w:rPr>
          <w:lang w:val="en-US"/>
        </w:rPr>
        <w:t>Athens, Greece, 26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– 30</w:t>
      </w:r>
      <w:r>
        <w:rPr>
          <w:vertAlign w:val="superscript"/>
          <w:lang w:val="en-US"/>
        </w:rPr>
        <w:t>th</w:t>
      </w:r>
      <w:r>
        <w:rPr>
          <w:lang w:val="en-US"/>
        </w:rPr>
        <w:t xml:space="preserve"> February, 2018</w:t>
      </w:r>
    </w:p>
    <w:p w14:paraId="3C4AFF2F" w14:textId="77777777" w:rsidR="006E297D" w:rsidRDefault="006E297D">
      <w:pPr>
        <w:pStyle w:val="3GPPHeader"/>
      </w:pPr>
    </w:p>
    <w:p w14:paraId="242C71F6" w14:textId="77777777" w:rsidR="006E297D" w:rsidRDefault="00895780">
      <w:pPr>
        <w:pStyle w:val="3GPPHeader"/>
      </w:pPr>
      <w:bookmarkStart w:id="0" w:name="_Hlk506635709"/>
      <w:r>
        <w:t>Source:</w:t>
      </w:r>
      <w:r>
        <w:tab/>
        <w:t>Ericsson</w:t>
      </w:r>
    </w:p>
    <w:p w14:paraId="581CB392" w14:textId="15C1203E" w:rsidR="006E297D" w:rsidRDefault="00895780">
      <w:pPr>
        <w:pStyle w:val="3GPPHeader"/>
      </w:pPr>
      <w:r>
        <w:t>Title:</w:t>
      </w:r>
      <w:r>
        <w:tab/>
      </w:r>
      <w:r w:rsidR="00ED62D7">
        <w:rPr>
          <w:color w:val="000000"/>
          <w:lang w:eastAsia="en-GB"/>
        </w:rPr>
        <w:t>Text Proposals for TS38.21</w:t>
      </w:r>
      <w:r w:rsidR="00576931">
        <w:rPr>
          <w:color w:val="000000"/>
          <w:lang w:eastAsia="en-GB"/>
        </w:rPr>
        <w:t>4</w:t>
      </w:r>
      <w:r w:rsidR="00ED62D7">
        <w:rPr>
          <w:color w:val="000000"/>
          <w:lang w:eastAsia="en-GB"/>
        </w:rPr>
        <w:t xml:space="preserve"> related to PT-RS</w:t>
      </w:r>
    </w:p>
    <w:p w14:paraId="6021D3A2" w14:textId="77777777" w:rsidR="006E297D" w:rsidRDefault="00895780">
      <w:pPr>
        <w:pStyle w:val="3GPPHeader"/>
      </w:pPr>
      <w:r>
        <w:t>Agenda Item:</w:t>
      </w:r>
      <w:r>
        <w:tab/>
        <w:t>7.1.2.3.4</w:t>
      </w:r>
    </w:p>
    <w:p w14:paraId="0CC0E7C3" w14:textId="77777777" w:rsidR="006E297D" w:rsidRDefault="00895780">
      <w:pPr>
        <w:pStyle w:val="3GPPHeader"/>
      </w:pPr>
      <w:r>
        <w:t>Document for:</w:t>
      </w:r>
      <w:r>
        <w:tab/>
        <w:t>Discussion and Decision</w:t>
      </w:r>
    </w:p>
    <w:bookmarkEnd w:id="0"/>
    <w:p w14:paraId="7A245E4E" w14:textId="3F14F9D6" w:rsidR="00034B48" w:rsidRDefault="00034B48" w:rsidP="00034B48">
      <w:pPr>
        <w:pStyle w:val="Heading1"/>
      </w:pPr>
      <w:r>
        <w:t>TP for agreements at RAN1#92</w:t>
      </w:r>
    </w:p>
    <w:p w14:paraId="6AD14F6A" w14:textId="19BD699A" w:rsidR="00034B48" w:rsidRDefault="00034B48" w:rsidP="00034B48">
      <w:pPr>
        <w:pStyle w:val="Heading2"/>
      </w:pPr>
      <w:r>
        <w:t>Agreement 1</w:t>
      </w:r>
    </w:p>
    <w:p w14:paraId="52E8787B" w14:textId="77777777" w:rsidR="00034B48" w:rsidRDefault="00034B48" w:rsidP="00034B48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</w:p>
    <w:p w14:paraId="3B62D609" w14:textId="77777777" w:rsidR="00034B48" w:rsidRPr="0048482F" w:rsidRDefault="00034B48" w:rsidP="00034B48">
      <w:pPr>
        <w:rPr>
          <w:color w:val="000000"/>
        </w:rPr>
      </w:pPr>
      <w:r w:rsidRPr="0048482F">
        <w:rPr>
          <w:color w:val="000000"/>
        </w:rPr>
        <w:t xml:space="preserve">When transform precoding is not enabled and if a UE is configured with the higher layer parameter </w:t>
      </w:r>
      <w:r w:rsidRPr="0048482F">
        <w:rPr>
          <w:i/>
          <w:color w:val="000000"/>
        </w:rPr>
        <w:t>UL-PTRS-present</w:t>
      </w:r>
      <w:r w:rsidRPr="0048482F">
        <w:rPr>
          <w:color w:val="000000"/>
        </w:rPr>
        <w:t xml:space="preserve"> set to </w:t>
      </w:r>
      <w:r>
        <w:rPr>
          <w:color w:val="000000"/>
        </w:rPr>
        <w:t>'</w:t>
      </w:r>
      <w:r w:rsidRPr="0048482F">
        <w:rPr>
          <w:color w:val="000000"/>
        </w:rPr>
        <w:t>ON</w:t>
      </w:r>
      <w:r>
        <w:rPr>
          <w:color w:val="000000"/>
        </w:rPr>
        <w:t>'</w:t>
      </w:r>
      <w:r w:rsidRPr="0048482F">
        <w:rPr>
          <w:color w:val="000000"/>
        </w:rPr>
        <w:t xml:space="preserve">, </w:t>
      </w:r>
    </w:p>
    <w:p w14:paraId="59B9D875" w14:textId="72B1CDB3" w:rsidR="00034B48" w:rsidRDefault="00034B48" w:rsidP="00034B48">
      <w:pPr>
        <w:pStyle w:val="B1"/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 w:rsidRPr="0048482F">
        <w:t xml:space="preserve">if the additional higher layer parameters </w:t>
      </w:r>
      <w:r w:rsidRPr="0048482F">
        <w:rPr>
          <w:i/>
        </w:rPr>
        <w:t>UL-PTRS-time-density</w:t>
      </w:r>
      <w:r w:rsidRPr="0048482F">
        <w:t xml:space="preserve"> and </w:t>
      </w:r>
      <w:r w:rsidRPr="0048482F">
        <w:rPr>
          <w:i/>
        </w:rPr>
        <w:t>UL-PTRS-frequency-density</w:t>
      </w:r>
      <w:r w:rsidRPr="0048482F">
        <w:t xml:space="preserve"> are configured,</w:t>
      </w:r>
      <w:r w:rsidRPr="00034B48">
        <w:rPr>
          <w:color w:val="FF0000"/>
          <w:u w:val="single"/>
        </w:rPr>
        <w:t xml:space="preserve"> </w:t>
      </w:r>
      <w:r>
        <w:rPr>
          <w:color w:val="FF0000"/>
          <w:u w:val="single"/>
        </w:rPr>
        <w:t>and the RNTI equals C-RNTI, CS-RNTI or SPS-CSI-RNTI,</w:t>
      </w:r>
      <w:r w:rsidRPr="0048482F">
        <w:t xml:space="preserve"> the UE shall assume the PT-RS antenna ports</w:t>
      </w:r>
      <w:r>
        <w:t>'</w:t>
      </w:r>
      <w:r w:rsidRPr="0048482F">
        <w:t xml:space="preserve"> presence and pattern are a function of the corresponding scheduled MCS and scheduled bandwidth in a corresponding bandwidth part as shown in Table 6.2.3-1 and Table 6.2.3-2, </w:t>
      </w:r>
    </w:p>
    <w:p w14:paraId="58F67642" w14:textId="77777777" w:rsidR="00034B48" w:rsidRDefault="00034B48" w:rsidP="00034B48">
      <w:pPr>
        <w:pStyle w:val="B1"/>
        <w:spacing w:after="0"/>
        <w:ind w:firstLine="566"/>
        <w:rPr>
          <w:color w:val="FF0000"/>
          <w:lang w:val="en-US"/>
        </w:rPr>
      </w:pPr>
      <w:r w:rsidRPr="00034B48">
        <w:rPr>
          <w:rFonts w:eastAsia="MS Mincho"/>
          <w:iCs/>
          <w:color w:val="FF0000"/>
          <w:lang w:val="en-US" w:eastAsia="ja-JP"/>
        </w:rPr>
        <w:tab/>
      </w:r>
      <w:r w:rsidRPr="00034B48">
        <w:rPr>
          <w:color w:val="FF0000"/>
        </w:rPr>
        <w:t xml:space="preserve">- </w:t>
      </w:r>
      <w:r>
        <w:rPr>
          <w:color w:val="FF0000"/>
        </w:rPr>
        <w:t xml:space="preserve">if the higher-layer parameter </w:t>
      </w:r>
      <w:r>
        <w:rPr>
          <w:i/>
          <w:color w:val="FF0000"/>
        </w:rPr>
        <w:t>timeDensity</w:t>
      </w:r>
      <w:r>
        <w:rPr>
          <w:color w:val="FF0000"/>
        </w:rPr>
        <w:t xml:space="preserve"> is not configured, the UE may assume </w:t>
      </w:r>
      <w:r>
        <w:rPr>
          <w:i/>
          <w:iCs/>
          <w:color w:val="FF0000"/>
        </w:rPr>
        <w:t>L</w:t>
      </w:r>
      <w:r>
        <w:rPr>
          <w:i/>
          <w:iCs/>
          <w:color w:val="FF0000"/>
          <w:vertAlign w:val="subscript"/>
        </w:rPr>
        <w:t xml:space="preserve">PT-RS </w:t>
      </w:r>
      <w:r>
        <w:rPr>
          <w:color w:val="FF0000"/>
          <w:lang w:val="en-US"/>
        </w:rPr>
        <w:t>= 1.</w:t>
      </w:r>
    </w:p>
    <w:p w14:paraId="2A2D372D" w14:textId="13009977" w:rsidR="00034B48" w:rsidRPr="00034B48" w:rsidRDefault="00034B48" w:rsidP="00034B48">
      <w:pPr>
        <w:pStyle w:val="B1"/>
        <w:spacing w:after="0"/>
        <w:ind w:firstLine="566"/>
        <w:rPr>
          <w:color w:val="FF0000"/>
        </w:rPr>
      </w:pPr>
      <w:r>
        <w:rPr>
          <w:color w:val="FF0000"/>
          <w:lang w:val="en-US"/>
        </w:rPr>
        <w:t xml:space="preserve">- if </w:t>
      </w:r>
      <w:r>
        <w:rPr>
          <w:color w:val="FF0000"/>
        </w:rPr>
        <w:t xml:space="preserve">the higher-layer parameter </w:t>
      </w:r>
      <w:r>
        <w:rPr>
          <w:i/>
          <w:color w:val="FF0000"/>
        </w:rPr>
        <w:t>frequencyDensity</w:t>
      </w:r>
      <w:r>
        <w:rPr>
          <w:color w:val="FF0000"/>
        </w:rPr>
        <w:t xml:space="preserve"> is not configured, the UE may assume </w:t>
      </w:r>
      <w:r>
        <w:rPr>
          <w:i/>
          <w:iCs/>
          <w:color w:val="FF0000"/>
          <w:lang w:eastAsia="ko-KR"/>
        </w:rPr>
        <w:t>K</w:t>
      </w:r>
      <w:r>
        <w:rPr>
          <w:i/>
          <w:iCs/>
          <w:color w:val="FF0000"/>
          <w:vertAlign w:val="subscript"/>
          <w:lang w:eastAsia="ko-KR"/>
        </w:rPr>
        <w:t>PT-RS</w:t>
      </w:r>
      <w:r>
        <w:rPr>
          <w:rFonts w:ascii="Calibri" w:hAnsi="Calibri"/>
          <w:color w:val="FF0000"/>
          <w:sz w:val="22"/>
          <w:szCs w:val="22"/>
          <w:lang w:val="en-US"/>
        </w:rPr>
        <w:t> = 2.</w:t>
      </w:r>
    </w:p>
    <w:p w14:paraId="49B1DB64" w14:textId="77777777" w:rsidR="00034B48" w:rsidRPr="00034B48" w:rsidRDefault="00034B48" w:rsidP="00034B48">
      <w:pPr>
        <w:pStyle w:val="B1"/>
        <w:rPr>
          <w:strike/>
          <w:color w:val="FF0000"/>
          <w:lang w:val="en-US"/>
        </w:rPr>
      </w:pPr>
      <w:r w:rsidRPr="00C33140">
        <w:t>-</w:t>
      </w:r>
      <w:r w:rsidRPr="00C33140">
        <w:tab/>
      </w:r>
      <w:r w:rsidRPr="00034B48">
        <w:rPr>
          <w:strike/>
          <w:color w:val="FF0000"/>
        </w:rPr>
        <w:t xml:space="preserve">if the higher-layer parameter </w:t>
      </w:r>
      <w:r w:rsidRPr="00034B48">
        <w:rPr>
          <w:i/>
          <w:strike/>
          <w:color w:val="FF0000"/>
        </w:rPr>
        <w:t>timeDensity</w:t>
      </w:r>
      <w:r w:rsidRPr="00034B48">
        <w:rPr>
          <w:strike/>
          <w:color w:val="FF0000"/>
        </w:rPr>
        <w:t xml:space="preserve"> is not configured, the UE may assume </w:t>
      </w:r>
      <w:r w:rsidRPr="00034B48">
        <w:rPr>
          <w:i/>
          <w:iCs/>
          <w:strike/>
          <w:color w:val="FF0000"/>
        </w:rPr>
        <w:t>L</w:t>
      </w:r>
      <w:r w:rsidRPr="00034B48">
        <w:rPr>
          <w:i/>
          <w:iCs/>
          <w:strike/>
          <w:color w:val="FF0000"/>
          <w:vertAlign w:val="subscript"/>
        </w:rPr>
        <w:t xml:space="preserve">PT-RS </w:t>
      </w:r>
      <w:r w:rsidRPr="00034B48">
        <w:rPr>
          <w:strike/>
          <w:color w:val="FF0000"/>
          <w:lang w:val="en-US"/>
        </w:rPr>
        <w:t>= 1.</w:t>
      </w:r>
    </w:p>
    <w:p w14:paraId="473A71D4" w14:textId="77777777" w:rsidR="00034B48" w:rsidRPr="00034B48" w:rsidRDefault="00034B48" w:rsidP="00034B48">
      <w:pPr>
        <w:pStyle w:val="B1"/>
        <w:rPr>
          <w:strike/>
          <w:color w:val="FF0000"/>
        </w:rPr>
      </w:pPr>
      <w:r w:rsidRPr="00034B48">
        <w:rPr>
          <w:strike/>
          <w:color w:val="FF0000"/>
          <w:lang w:val="en-US"/>
        </w:rPr>
        <w:t>-</w:t>
      </w:r>
      <w:r w:rsidRPr="00034B48">
        <w:rPr>
          <w:strike/>
          <w:color w:val="FF0000"/>
          <w:lang w:val="en-US"/>
        </w:rPr>
        <w:tab/>
        <w:t xml:space="preserve">if </w:t>
      </w:r>
      <w:r w:rsidRPr="00034B48">
        <w:rPr>
          <w:strike/>
          <w:color w:val="FF0000"/>
        </w:rPr>
        <w:t xml:space="preserve">the higher-layer parameter </w:t>
      </w:r>
      <w:r w:rsidRPr="00034B48">
        <w:rPr>
          <w:i/>
          <w:strike/>
          <w:color w:val="FF0000"/>
        </w:rPr>
        <w:t>frequencyDensity</w:t>
      </w:r>
      <w:r w:rsidRPr="00034B48">
        <w:rPr>
          <w:strike/>
          <w:color w:val="FF0000"/>
        </w:rPr>
        <w:t xml:space="preserve"> is not configured, the UE may assume </w:t>
      </w:r>
      <w:r w:rsidRPr="00034B48">
        <w:rPr>
          <w:i/>
          <w:iCs/>
          <w:strike/>
          <w:color w:val="FF0000"/>
          <w:lang w:eastAsia="ko-KR"/>
        </w:rPr>
        <w:t>K</w:t>
      </w:r>
      <w:r w:rsidRPr="00034B48">
        <w:rPr>
          <w:i/>
          <w:iCs/>
          <w:strike/>
          <w:color w:val="FF0000"/>
          <w:vertAlign w:val="subscript"/>
          <w:lang w:eastAsia="ko-KR"/>
        </w:rPr>
        <w:t>PT-RS</w:t>
      </w:r>
      <w:r w:rsidRPr="00034B48">
        <w:rPr>
          <w:rFonts w:ascii="Calibri" w:hAnsi="Calibri"/>
          <w:strike/>
          <w:color w:val="FF0000"/>
          <w:sz w:val="22"/>
          <w:szCs w:val="22"/>
          <w:lang w:val="en-US"/>
        </w:rPr>
        <w:t> = 2.</w:t>
      </w:r>
    </w:p>
    <w:p w14:paraId="282DBE70" w14:textId="77777777" w:rsidR="00034B48" w:rsidRDefault="00034B48" w:rsidP="00034B48">
      <w:pPr>
        <w:pStyle w:val="B1"/>
      </w:pPr>
      <w:r w:rsidRPr="0048482F">
        <w:rPr>
          <w:rFonts w:eastAsia="MS Mincho"/>
          <w:iCs/>
          <w:lang w:val="en-US" w:eastAsia="ja-JP"/>
        </w:rPr>
        <w:t>-</w:t>
      </w:r>
      <w:r w:rsidRPr="0048482F">
        <w:rPr>
          <w:rFonts w:eastAsia="MS Mincho"/>
          <w:iCs/>
          <w:lang w:val="en-US" w:eastAsia="ja-JP"/>
        </w:rPr>
        <w:tab/>
      </w:r>
      <w:r w:rsidRPr="0048482F">
        <w:t>otherwise the UE may assume that PT-RS is not present when</w:t>
      </w:r>
    </w:p>
    <w:p w14:paraId="7DEFA227" w14:textId="77777777" w:rsidR="00034B48" w:rsidRPr="00034B48" w:rsidRDefault="00034B48" w:rsidP="00034B48">
      <w:pPr>
        <w:pStyle w:val="B2"/>
        <w:rPr>
          <w:strike/>
          <w:color w:val="FF0000"/>
        </w:rPr>
      </w:pPr>
      <w:r w:rsidRPr="00034B48">
        <w:rPr>
          <w:strike/>
          <w:color w:val="FF0000"/>
        </w:rPr>
        <w:t>-</w:t>
      </w:r>
      <w:r w:rsidRPr="00034B48">
        <w:rPr>
          <w:strike/>
          <w:color w:val="FF0000"/>
        </w:rPr>
        <w:tab/>
        <w:t>the scheduled MCS is smaller than 0, or</w:t>
      </w:r>
    </w:p>
    <w:p w14:paraId="6D2CBFB5" w14:textId="77777777" w:rsidR="00034B48" w:rsidRPr="00034B48" w:rsidRDefault="00034B48" w:rsidP="00034B48">
      <w:pPr>
        <w:pStyle w:val="B2"/>
        <w:rPr>
          <w:strike/>
          <w:color w:val="FF0000"/>
        </w:rPr>
      </w:pPr>
      <w:r w:rsidRPr="00034B48">
        <w:rPr>
          <w:strike/>
          <w:color w:val="FF0000"/>
        </w:rPr>
        <w:t>-</w:t>
      </w:r>
      <w:r w:rsidRPr="00034B48">
        <w:rPr>
          <w:strike/>
          <w:color w:val="FF0000"/>
        </w:rPr>
        <w:tab/>
        <w:t>the number of scheduled RBs is smaller than 1,</w:t>
      </w:r>
    </w:p>
    <w:p w14:paraId="3C9CD423" w14:textId="2FEE2E4C" w:rsidR="00034B48" w:rsidRPr="00034B48" w:rsidRDefault="00034B48" w:rsidP="00034B48">
      <w:pPr>
        <w:ind w:firstLine="567"/>
      </w:pPr>
      <w:r>
        <w:rPr>
          <w:color w:val="FF0000"/>
          <w:u w:val="single"/>
        </w:rPr>
        <w:t xml:space="preserve">  - the RNTI equals TC-RNTI</w:t>
      </w:r>
    </w:p>
    <w:p w14:paraId="62FBF736" w14:textId="1010CDD3" w:rsidR="0037737E" w:rsidRDefault="0037737E" w:rsidP="0019174B">
      <w:pPr>
        <w:rPr>
          <w:lang w:val="en-US"/>
        </w:rPr>
      </w:pPr>
    </w:p>
    <w:p w14:paraId="689D4F69" w14:textId="58980B6C" w:rsidR="00034B48" w:rsidRDefault="00034B48" w:rsidP="00034B48">
      <w:pPr>
        <w:pStyle w:val="Heading2"/>
      </w:pPr>
      <w:r>
        <w:t>Agreement 2</w:t>
      </w:r>
    </w:p>
    <w:p w14:paraId="658B2FE5" w14:textId="77777777" w:rsidR="00034B48" w:rsidRPr="0048482F" w:rsidRDefault="00034B48" w:rsidP="00034B48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2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enabled</w:t>
      </w:r>
    </w:p>
    <w:p w14:paraId="27B95748" w14:textId="77777777" w:rsidR="00034B48" w:rsidRDefault="00034B48" w:rsidP="00034B48">
      <w:pPr>
        <w:rPr>
          <w:i/>
          <w:color w:val="000000"/>
        </w:rPr>
      </w:pPr>
      <w:r w:rsidRPr="0048482F">
        <w:rPr>
          <w:color w:val="000000"/>
        </w:rPr>
        <w:t xml:space="preserve">When transform precoding is enabled and if a UE is configured with the higher layer parameter </w:t>
      </w:r>
      <w:r w:rsidRPr="0048482F">
        <w:rPr>
          <w:i/>
          <w:color w:val="000000"/>
        </w:rPr>
        <w:t>UL-PTRS-present-transform-precoding</w:t>
      </w:r>
      <w:r>
        <w:rPr>
          <w:i/>
          <w:color w:val="000000"/>
        </w:rPr>
        <w:t>,</w:t>
      </w:r>
    </w:p>
    <w:p w14:paraId="0C563F00" w14:textId="7F094EC5" w:rsidR="00034B48" w:rsidRDefault="00034B48" w:rsidP="00034B48">
      <w:pPr>
        <w:ind w:left="567" w:hanging="283"/>
        <w:rPr>
          <w:color w:val="000000"/>
        </w:rPr>
      </w:pPr>
      <w:r>
        <w:rPr>
          <w:lang w:eastAsia="ko-KR"/>
        </w:rPr>
        <w:t>-</w:t>
      </w:r>
      <w:r>
        <w:rPr>
          <w:lang w:eastAsia="ko-KR"/>
        </w:rPr>
        <w:tab/>
        <w:t>the UE shall be configured with</w:t>
      </w:r>
      <w:r w:rsidRPr="0048482F">
        <w:rPr>
          <w:color w:val="000000"/>
        </w:rPr>
        <w:t xml:space="preserve"> the higher layer parameters </w:t>
      </w:r>
      <w:r w:rsidRPr="005217A7">
        <w:rPr>
          <w:i/>
          <w:color w:val="000000"/>
        </w:rPr>
        <w:t>sample</w:t>
      </w:r>
      <w:r>
        <w:rPr>
          <w:i/>
          <w:color w:val="000000"/>
        </w:rPr>
        <w:t>D</w:t>
      </w:r>
      <w:r w:rsidRPr="005217A7">
        <w:rPr>
          <w:i/>
          <w:color w:val="000000"/>
        </w:rPr>
        <w:t>ensity</w:t>
      </w:r>
      <w:r>
        <w:rPr>
          <w:color w:val="000000"/>
        </w:rPr>
        <w:t xml:space="preserve"> </w:t>
      </w:r>
      <w:r w:rsidRPr="005217A7">
        <w:rPr>
          <w:color w:val="000000"/>
        </w:rPr>
        <w:t>and</w:t>
      </w:r>
      <w:r w:rsidRPr="0048482F">
        <w:rPr>
          <w:color w:val="000000"/>
        </w:rPr>
        <w:t xml:space="preserve"> the UE shall assume the PT-RS antenna ports</w:t>
      </w:r>
      <w:r>
        <w:rPr>
          <w:color w:val="000000"/>
        </w:rPr>
        <w:t>'</w:t>
      </w:r>
      <w:r w:rsidRPr="0048482F">
        <w:rPr>
          <w:color w:val="000000"/>
        </w:rPr>
        <w:t xml:space="preserve"> presence and </w:t>
      </w:r>
      <w:r>
        <w:rPr>
          <w:color w:val="000000"/>
        </w:rPr>
        <w:t xml:space="preserve">PT-RS group </w:t>
      </w:r>
      <w:r w:rsidRPr="0048482F">
        <w:rPr>
          <w:color w:val="000000"/>
        </w:rPr>
        <w:t>pattern are a function of the corresponding scheduled bandwidth in a corresponding bandwidth part, as shown in Table 6.2.3-3. The UE shall assume no PT-RS is present when the number of scheduled RBs is less than or equal to N</w:t>
      </w:r>
      <w:r w:rsidRPr="0048482F">
        <w:rPr>
          <w:color w:val="000000"/>
          <w:vertAlign w:val="subscript"/>
        </w:rPr>
        <w:t>RB0</w:t>
      </w:r>
      <w:r w:rsidRPr="0048482F">
        <w:rPr>
          <w:color w:val="000000"/>
        </w:rPr>
        <w:t xml:space="preserve"> if N</w:t>
      </w:r>
      <w:r w:rsidRPr="0048482F">
        <w:rPr>
          <w:color w:val="000000"/>
          <w:vertAlign w:val="subscript"/>
        </w:rPr>
        <w:t>RB0</w:t>
      </w:r>
      <w:r w:rsidRPr="0048482F">
        <w:rPr>
          <w:color w:val="000000"/>
        </w:rPr>
        <w:t xml:space="preserve"> &gt; 0</w:t>
      </w:r>
      <w:r>
        <w:rPr>
          <w:color w:val="000000"/>
        </w:rPr>
        <w:t xml:space="preserve"> </w:t>
      </w:r>
      <w:r w:rsidRPr="00034B48">
        <w:rPr>
          <w:color w:val="FF0000"/>
          <w:u w:val="single"/>
        </w:rPr>
        <w:t xml:space="preserve">or if the </w:t>
      </w:r>
      <w:r w:rsidRPr="00F24FA2">
        <w:rPr>
          <w:color w:val="FF0000"/>
          <w:u w:val="single"/>
        </w:rPr>
        <w:t>RNTI equals TC-RNTI</w:t>
      </w:r>
      <w:r w:rsidRPr="0048482F">
        <w:rPr>
          <w:color w:val="000000"/>
        </w:rPr>
        <w:t>.</w:t>
      </w:r>
    </w:p>
    <w:p w14:paraId="63BB8E4F" w14:textId="77777777" w:rsidR="00034B48" w:rsidRPr="0048482F" w:rsidRDefault="00034B48" w:rsidP="00034B48">
      <w:pPr>
        <w:ind w:left="567" w:hanging="283"/>
        <w:rPr>
          <w:color w:val="000000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and the UE shall be configured PT-RS time density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PTRS</w:t>
      </w:r>
      <w:r w:rsidRPr="005618AC">
        <w:rPr>
          <w:lang w:eastAsia="ko-KR"/>
        </w:rPr>
        <w:t xml:space="preserve"> ={1,2} with the higher-layer parameter </w:t>
      </w:r>
      <w:r w:rsidRPr="005618AC">
        <w:rPr>
          <w:i/>
          <w:lang w:eastAsia="ko-KR"/>
        </w:rPr>
        <w:t>timeDensity.</w:t>
      </w:r>
      <w:r w:rsidRPr="005618AC">
        <w:rPr>
          <w:lang w:eastAsia="ko-KR"/>
        </w:rPr>
        <w:t xml:space="preserve"> Otherwise, </w:t>
      </w:r>
      <w:r>
        <w:rPr>
          <w:lang w:eastAsia="ko-KR"/>
        </w:rPr>
        <w:t xml:space="preserve">the </w:t>
      </w:r>
      <w:r w:rsidRPr="005618AC">
        <w:rPr>
          <w:lang w:eastAsia="ko-KR"/>
        </w:rPr>
        <w:t xml:space="preserve">UE shall assume PT-RS is present with </w:t>
      </w:r>
      <w:r w:rsidRPr="005618AC">
        <w:rPr>
          <w:i/>
          <w:lang w:eastAsia="ko-KR"/>
        </w:rPr>
        <w:t>L</w:t>
      </w:r>
      <w:r w:rsidRPr="005618AC">
        <w:rPr>
          <w:i/>
          <w:vertAlign w:val="subscript"/>
          <w:lang w:eastAsia="ko-KR"/>
        </w:rPr>
        <w:t>PTRS</w:t>
      </w:r>
      <w:r w:rsidRPr="005618AC">
        <w:rPr>
          <w:i/>
          <w:lang w:eastAsia="ko-KR"/>
        </w:rPr>
        <w:t xml:space="preserve"> </w:t>
      </w:r>
      <w:r w:rsidRPr="005618AC">
        <w:rPr>
          <w:lang w:eastAsia="ko-KR"/>
        </w:rPr>
        <w:t>= 1.</w:t>
      </w:r>
    </w:p>
    <w:p w14:paraId="5BFB1DCD" w14:textId="4D37FAAE" w:rsidR="00034B48" w:rsidRDefault="00034B48" w:rsidP="00034B48"/>
    <w:p w14:paraId="7798C890" w14:textId="00A54517" w:rsidR="00034B48" w:rsidRDefault="00034B48" w:rsidP="00034B48">
      <w:pPr>
        <w:pStyle w:val="Heading2"/>
      </w:pPr>
      <w:r w:rsidRPr="00034B48">
        <w:lastRenderedPageBreak/>
        <w:t>Agreement 3</w:t>
      </w:r>
    </w:p>
    <w:p w14:paraId="3F51193E" w14:textId="77777777" w:rsidR="00034B48" w:rsidRPr="0048482F" w:rsidRDefault="00034B48" w:rsidP="00034B48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1" w:name="_Toc501048177"/>
      <w:r w:rsidRPr="0048482F">
        <w:rPr>
          <w:color w:val="000000"/>
        </w:rPr>
        <w:t>5.1.6.3</w:t>
      </w:r>
      <w:r w:rsidRPr="0048482F">
        <w:rPr>
          <w:color w:val="000000"/>
        </w:rPr>
        <w:tab/>
        <w:t>PT-RS reception procedure</w:t>
      </w:r>
      <w:bookmarkEnd w:id="1"/>
    </w:p>
    <w:p w14:paraId="5F582A18" w14:textId="3C753E13" w:rsidR="00034B48" w:rsidRPr="00034B48" w:rsidRDefault="00034B48" w:rsidP="00034B48">
      <w:pPr>
        <w:rPr>
          <w:color w:val="FF0000"/>
        </w:rPr>
      </w:pPr>
      <w:r w:rsidRPr="00034B48">
        <w:rPr>
          <w:color w:val="FF0000"/>
        </w:rPr>
        <w:t>[Unchanged parts omitted|</w:t>
      </w:r>
    </w:p>
    <w:p w14:paraId="3B888A9D" w14:textId="3CAE5363" w:rsidR="00034B48" w:rsidRPr="009F62E5" w:rsidRDefault="00034B48" w:rsidP="00034B48">
      <w:r w:rsidRPr="004A1D8C">
        <w:rPr>
          <w:lang w:val="en-US"/>
        </w:rPr>
        <w:t xml:space="preserve">If the </w:t>
      </w:r>
      <w:r>
        <w:rPr>
          <w:lang w:val="en-US"/>
        </w:rPr>
        <w:t xml:space="preserve">higher layer parameter </w:t>
      </w:r>
      <w:r w:rsidRPr="00DA3963">
        <w:rPr>
          <w:i/>
          <w:lang w:val="en-US"/>
        </w:rPr>
        <w:t>TC</w:t>
      </w:r>
      <w:r>
        <w:rPr>
          <w:i/>
          <w:lang w:val="en-US"/>
        </w:rPr>
        <w:t>I-Presentin</w:t>
      </w:r>
      <w:r w:rsidRPr="00DA3963">
        <w:rPr>
          <w:i/>
          <w:lang w:val="en-US"/>
        </w:rPr>
        <w:t>DCI</w:t>
      </w:r>
      <w:r w:rsidRPr="004A1D8C">
        <w:rPr>
          <w:lang w:val="en-US"/>
        </w:rPr>
        <w:t xml:space="preserve"> is set as “Disabled”, the scheduled number of PT-RS ports for a UE PDSCH transmission is indicated by the TCI state applied for the CORESET used for the PDCCH transmission that schedules the PDSCH</w:t>
      </w:r>
      <w:r>
        <w:rPr>
          <w:lang w:val="en-US"/>
        </w:rPr>
        <w:t xml:space="preserve"> </w:t>
      </w:r>
      <w:r w:rsidRPr="004463EE">
        <w:rPr>
          <w:color w:val="FF0000"/>
          <w:u w:val="single"/>
          <w:lang w:val="en-US"/>
        </w:rPr>
        <w:t xml:space="preserve">when the scheduling offset is above the threshold indicated by the UE reported </w:t>
      </w:r>
      <w:r w:rsidRPr="004463EE">
        <w:rPr>
          <w:b/>
          <w:i/>
          <w:color w:val="FF0000"/>
          <w:u w:val="single"/>
        </w:rPr>
        <w:t>Threshold-Sched-Offset</w:t>
      </w:r>
      <w:r w:rsidRPr="004A1D8C">
        <w:rPr>
          <w:lang w:val="en-US"/>
        </w:rPr>
        <w:t>.</w:t>
      </w:r>
      <w:r w:rsidRPr="004A1D8C">
        <w:rPr>
          <w:lang w:val="en-US" w:eastAsia="ko-KR"/>
        </w:rPr>
        <w:t xml:space="preserve"> </w:t>
      </w:r>
      <w:r w:rsidRPr="004A1D8C">
        <w:t xml:space="preserve">If the </w:t>
      </w:r>
      <w:r>
        <w:rPr>
          <w:color w:val="FF0000"/>
          <w:u w:val="single"/>
        </w:rPr>
        <w:t xml:space="preserve">scheduling </w:t>
      </w:r>
      <w:r w:rsidRPr="004A1D8C">
        <w:t xml:space="preserve">offset is less </w:t>
      </w:r>
      <w:r w:rsidRPr="00034B48">
        <w:rPr>
          <w:color w:val="FF0000"/>
        </w:rPr>
        <w:t xml:space="preserve">or equal </w:t>
      </w:r>
      <w:r w:rsidRPr="004A1D8C">
        <w:t xml:space="preserve">than </w:t>
      </w:r>
      <w:r w:rsidRPr="00034B48">
        <w:rPr>
          <w:strike/>
          <w:color w:val="FF0000"/>
        </w:rPr>
        <w:t>a</w:t>
      </w:r>
      <w:r w:rsidRPr="00034B48">
        <w:rPr>
          <w:color w:val="FF0000"/>
          <w:u w:val="single"/>
        </w:rPr>
        <w:t xml:space="preserve"> the</w:t>
      </w:r>
      <w:r w:rsidRPr="00034B48">
        <w:rPr>
          <w:color w:val="FF0000"/>
        </w:rPr>
        <w:t xml:space="preserve"> </w:t>
      </w:r>
      <w:r w:rsidRPr="004A1D8C">
        <w:t xml:space="preserve">threshold, </w:t>
      </w:r>
      <w:r w:rsidRPr="004A1D8C">
        <w:rPr>
          <w:lang w:val="en-US"/>
        </w:rPr>
        <w:t xml:space="preserve">the scheduled number of PT-RS ports for a UE PDSCH transmission is indicated by the TCI state applied for the CORESET with the </w:t>
      </w:r>
      <w:r w:rsidRPr="004A1D8C">
        <w:t>lowest CORESET-ID in the latest slot in which one or more CORESETs are configured for the UE.</w:t>
      </w:r>
    </w:p>
    <w:p w14:paraId="0C80ED49" w14:textId="77777777" w:rsidR="00034B48" w:rsidRPr="00034B48" w:rsidRDefault="00034B48" w:rsidP="00034B48"/>
    <w:p w14:paraId="66757AFE" w14:textId="77777777" w:rsidR="00034B48" w:rsidRPr="00034B48" w:rsidRDefault="00034B48" w:rsidP="00034B48"/>
    <w:p w14:paraId="6FB4DC0F" w14:textId="7B8887AA" w:rsidR="00034B48" w:rsidRDefault="00034B48" w:rsidP="00034B48">
      <w:pPr>
        <w:pStyle w:val="Heading2"/>
        <w:rPr>
          <w:lang w:val="en-US"/>
        </w:rPr>
      </w:pPr>
      <w:r>
        <w:rPr>
          <w:lang w:val="en-US"/>
        </w:rPr>
        <w:t>Agreement 4</w:t>
      </w:r>
    </w:p>
    <w:p w14:paraId="145FC45F" w14:textId="77777777" w:rsidR="00665A82" w:rsidRDefault="00665A82" w:rsidP="00665A82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</w:p>
    <w:p w14:paraId="049F62B3" w14:textId="2A5B7F25" w:rsidR="00665A82" w:rsidRPr="00665A82" w:rsidRDefault="00665A82" w:rsidP="00665A82">
      <w:pPr>
        <w:rPr>
          <w:color w:val="FF0000"/>
        </w:rPr>
      </w:pPr>
      <w:r w:rsidRPr="00665A82">
        <w:rPr>
          <w:color w:val="FF0000"/>
        </w:rPr>
        <w:t>[Unchanged text is omitted]</w:t>
      </w:r>
    </w:p>
    <w:p w14:paraId="17972041" w14:textId="3297CCFA" w:rsidR="00665A82" w:rsidRPr="00665A82" w:rsidRDefault="00665A82" w:rsidP="00665A82">
      <w:pPr>
        <w:rPr>
          <w:color w:val="FF0000"/>
          <w:u w:val="single"/>
        </w:rPr>
      </w:pPr>
      <w:r w:rsidRPr="0048482F">
        <w:rPr>
          <w:color w:val="000000"/>
        </w:rPr>
        <w:t xml:space="preserve">The maximum number of configured PT-RS ports is given by the higher layer parameter </w:t>
      </w:r>
      <w:r w:rsidRPr="0048482F">
        <w:rPr>
          <w:i/>
          <w:color w:val="000000"/>
        </w:rPr>
        <w:t>UL-PTRS-ports.</w:t>
      </w:r>
      <w:r>
        <w:rPr>
          <w:color w:val="000000"/>
        </w:rPr>
        <w:t xml:space="preserve"> </w:t>
      </w:r>
      <w:r>
        <w:rPr>
          <w:color w:val="FF0000"/>
          <w:u w:val="single"/>
        </w:rPr>
        <w:t>The UE is not expected to be configured with a larger number of UL PT-RS ports than it has reported need for.</w:t>
      </w:r>
    </w:p>
    <w:p w14:paraId="1BBD1F08" w14:textId="7D747F44" w:rsidR="00665A82" w:rsidRDefault="00665A82" w:rsidP="00665A82">
      <w:pPr>
        <w:rPr>
          <w:color w:val="000000"/>
          <w:lang w:eastAsia="ko-KR"/>
        </w:rPr>
      </w:pPr>
      <w:r w:rsidRPr="0048482F">
        <w:rPr>
          <w:color w:val="000000"/>
          <w:lang w:eastAsia="ko-KR"/>
        </w:rPr>
        <w:t>If a UE has reported the capability of supporting [full-coherent UL transmission], the UE may expect the number of UL PT-RS ports to be configured as one</w:t>
      </w:r>
      <w:r>
        <w:rPr>
          <w:color w:val="000000"/>
          <w:lang w:eastAsia="ko-KR"/>
        </w:rPr>
        <w:t>.</w:t>
      </w:r>
    </w:p>
    <w:p w14:paraId="794344EB" w14:textId="7C07E511" w:rsidR="00EA0C0D" w:rsidRDefault="00EA0C0D" w:rsidP="00665A82">
      <w:pPr>
        <w:rPr>
          <w:color w:val="000000"/>
          <w:lang w:eastAsia="ko-KR"/>
        </w:rPr>
      </w:pPr>
    </w:p>
    <w:p w14:paraId="55EBB549" w14:textId="764A2118" w:rsidR="00EA0C0D" w:rsidRDefault="00EA0C0D" w:rsidP="00EA0C0D">
      <w:pPr>
        <w:pStyle w:val="Heading2"/>
        <w:rPr>
          <w:lang w:eastAsia="ko-KR"/>
        </w:rPr>
      </w:pPr>
      <w:r>
        <w:rPr>
          <w:lang w:eastAsia="ko-KR"/>
        </w:rPr>
        <w:t>Agreement 5</w:t>
      </w:r>
      <w:r w:rsidR="009935DF">
        <w:rPr>
          <w:lang w:eastAsia="ko-KR"/>
        </w:rPr>
        <w:t xml:space="preserve"> (Working assumption)</w:t>
      </w:r>
    </w:p>
    <w:p w14:paraId="78C05B2A" w14:textId="77777777" w:rsidR="00171AD9" w:rsidRPr="0048482F" w:rsidRDefault="00171AD9" w:rsidP="00171AD9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bookmarkStart w:id="2" w:name="_Hlk500844944"/>
      <w:r w:rsidRPr="0048482F">
        <w:rPr>
          <w:color w:val="000000"/>
        </w:rPr>
        <w:t>5.1.6.3</w:t>
      </w:r>
      <w:r w:rsidRPr="0048482F">
        <w:rPr>
          <w:color w:val="000000"/>
        </w:rPr>
        <w:tab/>
        <w:t>PT-RS reception procedure</w:t>
      </w:r>
    </w:p>
    <w:p w14:paraId="06765DE9" w14:textId="77777777" w:rsidR="00171AD9" w:rsidRPr="0048482F" w:rsidRDefault="00171AD9" w:rsidP="00171AD9">
      <w:pPr>
        <w:snapToGrid w:val="0"/>
        <w:spacing w:after="0"/>
        <w:rPr>
          <w:rFonts w:eastAsia="SimSun"/>
          <w:color w:val="000000"/>
          <w:szCs w:val="22"/>
        </w:rPr>
      </w:pPr>
      <w:r w:rsidRPr="0048482F">
        <w:rPr>
          <w:color w:val="000000"/>
          <w:szCs w:val="22"/>
        </w:rPr>
        <w:t>A UE shall report the preferred MCS and bandwidth thresholds based on the UE capability at a given carrier frequency, for each subcarrier spacing applicable to data channel at this carrier frequency, assuming the MCS table with the maximum ModOrder as it reported to support.</w:t>
      </w:r>
    </w:p>
    <w:p w14:paraId="18A98852" w14:textId="77777777" w:rsidR="00EA0C0D" w:rsidRDefault="00EA0C0D" w:rsidP="00EA0C0D">
      <w:pPr>
        <w:rPr>
          <w:color w:val="000000"/>
        </w:rPr>
      </w:pPr>
    </w:p>
    <w:p w14:paraId="228FAC13" w14:textId="3D5C4AAC" w:rsidR="00EA0C0D" w:rsidRDefault="00EA0C0D" w:rsidP="00EA0C0D">
      <w:pPr>
        <w:rPr>
          <w:color w:val="000000"/>
        </w:rPr>
      </w:pPr>
      <w:r>
        <w:rPr>
          <w:color w:val="000000"/>
        </w:rPr>
        <w:t xml:space="preserve">If a UE is configured with the higher layer parameter </w:t>
      </w:r>
      <w:bookmarkStart w:id="3" w:name="_Hlk500442245"/>
      <w:r>
        <w:rPr>
          <w:i/>
          <w:color w:val="000000"/>
        </w:rPr>
        <w:t>Downlink-PTRS-Config</w:t>
      </w:r>
      <w:bookmarkEnd w:id="3"/>
      <w:r>
        <w:rPr>
          <w:i/>
          <w:color w:val="000000"/>
        </w:rPr>
        <w:t xml:space="preserve">, </w:t>
      </w:r>
      <w:r>
        <w:rPr>
          <w:color w:val="000000"/>
        </w:rPr>
        <w:t>set to 'ON',</w:t>
      </w:r>
    </w:p>
    <w:p w14:paraId="7CC91723" w14:textId="77777777" w:rsidR="00EA0C0D" w:rsidRDefault="00EA0C0D" w:rsidP="00EA0C0D">
      <w:pPr>
        <w:pStyle w:val="B1"/>
      </w:pPr>
      <w:r>
        <w:t>-</w:t>
      </w:r>
      <w:r>
        <w:tab/>
        <w:t xml:space="preserve">if </w:t>
      </w:r>
      <w:r>
        <w:rPr>
          <w:color w:val="FF0000"/>
          <w:u w:val="single"/>
        </w:rPr>
        <w:t>either or both of</w:t>
      </w:r>
      <w:r>
        <w:rPr>
          <w:color w:val="FF0000"/>
        </w:rPr>
        <w:t xml:space="preserve"> </w:t>
      </w:r>
      <w:r>
        <w:t xml:space="preserve">the additional higher layer parameters </w:t>
      </w:r>
      <w:r>
        <w:rPr>
          <w:i/>
        </w:rPr>
        <w:t xml:space="preserve">timeDensity </w:t>
      </w:r>
      <w:r>
        <w:t xml:space="preserve">and </w:t>
      </w:r>
      <w:r>
        <w:rPr>
          <w:i/>
        </w:rPr>
        <w:t xml:space="preserve">frequencyDensity </w:t>
      </w:r>
      <w:r>
        <w:t xml:space="preserve">are </w:t>
      </w:r>
      <w:r>
        <w:rPr>
          <w:strike/>
          <w:color w:val="FF0000"/>
        </w:rPr>
        <w:t>both</w:t>
      </w:r>
      <w:r>
        <w:rPr>
          <w:color w:val="FF0000"/>
        </w:rPr>
        <w:t xml:space="preserve"> </w:t>
      </w:r>
      <w:r>
        <w:t xml:space="preserve">configured, </w:t>
      </w:r>
      <w:r>
        <w:rPr>
          <w:color w:val="FF0000"/>
          <w:u w:val="single"/>
        </w:rPr>
        <w:t xml:space="preserve">and the RNTI equals C-RNTI or CS-RNTI, </w:t>
      </w:r>
      <w:r>
        <w:t xml:space="preserve">the UE shall assume the PT-RS antenna ports' presence and pattern are a function of the corresponding scheduled MCS of the corresponding codeword and scheduled bandwidth in corresponding bandwidth part as shown in Table 5.1.6.3-1 and Table 5.1.6.3-2, </w:t>
      </w:r>
    </w:p>
    <w:p w14:paraId="4989896F" w14:textId="77777777" w:rsidR="00EA0C0D" w:rsidRDefault="00EA0C0D" w:rsidP="00EA0C0D">
      <w:pPr>
        <w:pStyle w:val="B1"/>
        <w:rPr>
          <w:color w:val="FF0000"/>
          <w:lang w:val="en-US"/>
        </w:rPr>
      </w:pPr>
      <w:r>
        <w:tab/>
      </w:r>
      <w:r>
        <w:tab/>
      </w:r>
      <w:r>
        <w:rPr>
          <w:color w:val="FF0000"/>
        </w:rPr>
        <w:t xml:space="preserve">- if the higher-layer parameter </w:t>
      </w:r>
      <w:r>
        <w:rPr>
          <w:i/>
          <w:color w:val="FF0000"/>
        </w:rPr>
        <w:t>timeDensity</w:t>
      </w:r>
      <w:r>
        <w:rPr>
          <w:color w:val="FF0000"/>
        </w:rPr>
        <w:t xml:space="preserve"> is not configured, the UE may assume </w:t>
      </w:r>
      <w:r>
        <w:rPr>
          <w:i/>
          <w:iCs/>
          <w:color w:val="FF0000"/>
        </w:rPr>
        <w:t>L</w:t>
      </w:r>
      <w:r>
        <w:rPr>
          <w:i/>
          <w:iCs/>
          <w:color w:val="FF0000"/>
          <w:vertAlign w:val="subscript"/>
        </w:rPr>
        <w:t xml:space="preserve">PT-RS </w:t>
      </w:r>
      <w:r>
        <w:rPr>
          <w:color w:val="FF0000"/>
          <w:lang w:val="en-US"/>
        </w:rPr>
        <w:t>= 1.</w:t>
      </w:r>
    </w:p>
    <w:p w14:paraId="3C6A3A92" w14:textId="77777777" w:rsidR="00EA0C0D" w:rsidRDefault="00EA0C0D" w:rsidP="00EA0C0D">
      <w:pPr>
        <w:pStyle w:val="B1"/>
        <w:rPr>
          <w:rFonts w:ascii="Calibri" w:hAnsi="Calibri"/>
          <w:color w:val="FF0000"/>
          <w:sz w:val="22"/>
          <w:szCs w:val="22"/>
          <w:lang w:val="en-US"/>
        </w:rPr>
      </w:pPr>
      <w:r>
        <w:rPr>
          <w:color w:val="FF0000"/>
          <w:lang w:val="en-US"/>
        </w:rPr>
        <w:tab/>
      </w:r>
      <w:r>
        <w:rPr>
          <w:color w:val="FF0000"/>
          <w:lang w:val="en-US"/>
        </w:rPr>
        <w:tab/>
        <w:t xml:space="preserve">- if </w:t>
      </w:r>
      <w:r>
        <w:rPr>
          <w:color w:val="FF0000"/>
        </w:rPr>
        <w:t xml:space="preserve">the higher-layer parameter </w:t>
      </w:r>
      <w:r>
        <w:rPr>
          <w:i/>
          <w:color w:val="FF0000"/>
        </w:rPr>
        <w:t>frequencyDensity</w:t>
      </w:r>
      <w:r>
        <w:rPr>
          <w:color w:val="FF0000"/>
        </w:rPr>
        <w:t xml:space="preserve"> is not configured, the UE may assume </w:t>
      </w:r>
      <w:r>
        <w:rPr>
          <w:i/>
          <w:iCs/>
          <w:color w:val="FF0000"/>
          <w:lang w:eastAsia="ko-KR"/>
        </w:rPr>
        <w:t>K</w:t>
      </w:r>
      <w:r>
        <w:rPr>
          <w:i/>
          <w:iCs/>
          <w:color w:val="FF0000"/>
          <w:vertAlign w:val="subscript"/>
          <w:lang w:eastAsia="ko-KR"/>
        </w:rPr>
        <w:t>PT-RS</w:t>
      </w:r>
      <w:r>
        <w:rPr>
          <w:rFonts w:ascii="Calibri" w:hAnsi="Calibri"/>
          <w:color w:val="FF0000"/>
          <w:sz w:val="22"/>
          <w:szCs w:val="22"/>
          <w:lang w:val="en-US"/>
        </w:rPr>
        <w:t> = 2.</w:t>
      </w:r>
    </w:p>
    <w:p w14:paraId="5255C54F" w14:textId="77777777" w:rsidR="00EA0C0D" w:rsidRDefault="00EA0C0D" w:rsidP="00EA0C0D">
      <w:pPr>
        <w:pStyle w:val="B1"/>
      </w:pPr>
      <w:r>
        <w:t>-</w:t>
      </w:r>
      <w:r>
        <w:tab/>
        <w:t xml:space="preserve">otherwise, </w:t>
      </w:r>
      <w:r>
        <w:rPr>
          <w:iCs/>
          <w:color w:val="FF0000"/>
          <w:u w:val="single"/>
        </w:rPr>
        <w:t>the UE shall assume the PT-RS is present with</w:t>
      </w:r>
      <w:r>
        <w:rPr>
          <w:i/>
          <w:iCs/>
          <w:color w:val="FF0000"/>
          <w:u w:val="single"/>
        </w:rPr>
        <w:t xml:space="preserve"> L</w:t>
      </w:r>
      <w:r>
        <w:rPr>
          <w:i/>
          <w:iCs/>
          <w:color w:val="FF0000"/>
          <w:u w:val="single"/>
          <w:vertAlign w:val="subscript"/>
        </w:rPr>
        <w:t xml:space="preserve">PT-RS </w:t>
      </w:r>
      <w:r>
        <w:rPr>
          <w:color w:val="FF0000"/>
          <w:u w:val="single"/>
          <w:lang w:val="en-US"/>
        </w:rPr>
        <w:t xml:space="preserve">= 1, </w:t>
      </w:r>
      <w:r>
        <w:rPr>
          <w:i/>
          <w:iCs/>
          <w:color w:val="FF0000"/>
          <w:u w:val="single"/>
          <w:lang w:eastAsia="ko-KR"/>
        </w:rPr>
        <w:t>K</w:t>
      </w:r>
      <w:r>
        <w:rPr>
          <w:i/>
          <w:iCs/>
          <w:color w:val="FF0000"/>
          <w:u w:val="single"/>
          <w:vertAlign w:val="subscript"/>
          <w:lang w:eastAsia="ko-KR"/>
        </w:rPr>
        <w:t>PT-RS</w:t>
      </w:r>
      <w:r>
        <w:rPr>
          <w:rFonts w:ascii="Calibri" w:hAnsi="Calibri"/>
          <w:color w:val="FF0000"/>
          <w:sz w:val="22"/>
          <w:szCs w:val="22"/>
          <w:u w:val="single"/>
          <w:lang w:val="en-US"/>
        </w:rPr>
        <w:t> = 2</w:t>
      </w:r>
      <w:r>
        <w:rPr>
          <w:color w:val="FF0000"/>
          <w:u w:val="single"/>
        </w:rPr>
        <w:t xml:space="preserve"> and</w:t>
      </w:r>
      <w:r>
        <w:rPr>
          <w:color w:val="FF0000"/>
          <w:lang w:val="en-US"/>
        </w:rPr>
        <w:t xml:space="preserve"> </w:t>
      </w:r>
      <w:r>
        <w:t>the UE shall assume that PT-RS is not present when,</w:t>
      </w:r>
    </w:p>
    <w:p w14:paraId="3F7F5279" w14:textId="77777777" w:rsidR="00EA0C0D" w:rsidRDefault="00EA0C0D" w:rsidP="00EA0C0D">
      <w:pPr>
        <w:pStyle w:val="B2"/>
      </w:pPr>
      <w:r>
        <w:t>-</w:t>
      </w:r>
      <w:r>
        <w:tab/>
        <w:t>the scheduled MCS from Table 5.1.3.1-1 is smaller than 10, or</w:t>
      </w:r>
    </w:p>
    <w:p w14:paraId="128BBF95" w14:textId="77777777" w:rsidR="00EA0C0D" w:rsidRDefault="00EA0C0D" w:rsidP="00EA0C0D">
      <w:pPr>
        <w:pStyle w:val="B2"/>
      </w:pPr>
      <w:r>
        <w:t>-</w:t>
      </w:r>
      <w:r>
        <w:tab/>
        <w:t xml:space="preserve">the scheduled MCS from Table 5.1.3.1-2 is smaller than 5, or </w:t>
      </w:r>
    </w:p>
    <w:p w14:paraId="16415F85" w14:textId="77777777" w:rsidR="00EA0C0D" w:rsidRDefault="00EA0C0D" w:rsidP="00EA0C0D">
      <w:pPr>
        <w:pStyle w:val="B2"/>
      </w:pPr>
      <w:r>
        <w:t>-</w:t>
      </w:r>
      <w:r>
        <w:tab/>
        <w:t>the number of scheduled RBs is smaller than 3, or</w:t>
      </w:r>
    </w:p>
    <w:p w14:paraId="64FA211E" w14:textId="77777777" w:rsidR="00EA0C0D" w:rsidRDefault="00EA0C0D" w:rsidP="00EA0C0D">
      <w:pPr>
        <w:pStyle w:val="B2"/>
      </w:pPr>
      <w:r>
        <w:t xml:space="preserve">-  </w:t>
      </w:r>
      <w:r>
        <w:rPr>
          <w:color w:val="FF0000"/>
          <w:u w:val="single"/>
        </w:rPr>
        <w:t>the RNTI equals RA-RNTI, SI-RNTI or P-RNTI</w:t>
      </w:r>
    </w:p>
    <w:bookmarkEnd w:id="2"/>
    <w:p w14:paraId="6761F8DD" w14:textId="7222CD00" w:rsidR="00EA0C0D" w:rsidRDefault="00EA0C0D" w:rsidP="00EA0C0D">
      <w:pPr>
        <w:rPr>
          <w:lang w:eastAsia="ko-KR"/>
        </w:rPr>
      </w:pPr>
    </w:p>
    <w:p w14:paraId="3C1F6D5D" w14:textId="6ECB5AE5" w:rsidR="00536B32" w:rsidRDefault="00536B32" w:rsidP="00536B32">
      <w:pPr>
        <w:pStyle w:val="Heading2"/>
        <w:rPr>
          <w:lang w:eastAsia="ko-KR"/>
        </w:rPr>
      </w:pPr>
      <w:r>
        <w:rPr>
          <w:lang w:eastAsia="ko-KR"/>
        </w:rPr>
        <w:t>Agreement 6</w:t>
      </w:r>
    </w:p>
    <w:p w14:paraId="4D6C38BA" w14:textId="77777777" w:rsidR="00536B32" w:rsidRDefault="00536B32" w:rsidP="00536B32">
      <w:pPr>
        <w:pStyle w:val="Heading4"/>
        <w:numPr>
          <w:ilvl w:val="0"/>
          <w:numId w:val="0"/>
        </w:numPr>
        <w:ind w:left="864" w:hanging="864"/>
        <w:rPr>
          <w:color w:val="000000"/>
        </w:rPr>
      </w:pPr>
      <w:r w:rsidRPr="0048482F">
        <w:rPr>
          <w:color w:val="000000"/>
        </w:rPr>
        <w:t>6.2.</w:t>
      </w:r>
      <w:r>
        <w:rPr>
          <w:color w:val="000000"/>
        </w:rPr>
        <w:t>3</w:t>
      </w:r>
      <w:r w:rsidRPr="0048482F">
        <w:rPr>
          <w:color w:val="000000"/>
        </w:rPr>
        <w:t>.</w:t>
      </w:r>
      <w:r>
        <w:rPr>
          <w:color w:val="000000"/>
        </w:rPr>
        <w:t>1</w:t>
      </w:r>
      <w:r w:rsidRPr="0048482F">
        <w:rPr>
          <w:color w:val="000000"/>
        </w:rPr>
        <w:tab/>
        <w:t xml:space="preserve">UE </w:t>
      </w:r>
      <w:r>
        <w:rPr>
          <w:color w:val="000000"/>
        </w:rPr>
        <w:t>PT-RS transmission procedure when transform precoding is not enabled</w:t>
      </w:r>
    </w:p>
    <w:p w14:paraId="0A6AFE3A" w14:textId="652A1A33" w:rsidR="00536B32" w:rsidRPr="00536B32" w:rsidRDefault="00536B32" w:rsidP="00536B32">
      <w:pPr>
        <w:rPr>
          <w:color w:val="FF0000"/>
        </w:rPr>
      </w:pPr>
      <w:r w:rsidRPr="00665A82">
        <w:rPr>
          <w:color w:val="FF0000"/>
        </w:rPr>
        <w:t>[Unchanged text is omitted]</w:t>
      </w:r>
    </w:p>
    <w:p w14:paraId="0F146D6B" w14:textId="4B6F56D9" w:rsidR="00536B32" w:rsidRDefault="00536B32" w:rsidP="00536B32">
      <w:r w:rsidRPr="001F56DD">
        <w:t xml:space="preserve">For codebook based </w:t>
      </w:r>
      <w:r w:rsidRPr="00874367">
        <w:rPr>
          <w:strike/>
          <w:color w:val="FF0000"/>
        </w:rPr>
        <w:t xml:space="preserve">coherent </w:t>
      </w:r>
      <w:r w:rsidRPr="001F56DD">
        <w:t xml:space="preserve">uplink transmission, when </w:t>
      </w:r>
      <w:r w:rsidRPr="00E2467B">
        <w:t xml:space="preserve">the UE is scheduled </w:t>
      </w:r>
      <w:r w:rsidRPr="00E2467B">
        <w:rPr>
          <w:color w:val="FF0000"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Q</m:t>
            </m:r>
          </m:e>
          <m:sub>
            <m:r>
              <w:rPr>
                <w:rFonts w:ascii="Cambria Math" w:hAnsi="Cambria Math"/>
                <w:color w:val="FF0000"/>
              </w:rPr>
              <m:t>p</m:t>
            </m:r>
          </m:sub>
        </m:sSub>
        <m:r>
          <w:rPr>
            <w:rFonts w:ascii="Cambria Math" w:hAnsi="Cambria Math"/>
            <w:color w:val="FF0000"/>
          </w:rPr>
          <m:t>={1,2}</m:t>
        </m:r>
      </m:oMath>
      <w:r w:rsidRPr="00E2467B">
        <w:rPr>
          <w:color w:val="FF0000"/>
        </w:rPr>
        <w:t xml:space="preserve"> PT-RS port</w:t>
      </w:r>
      <w:r w:rsidR="00E2467B" w:rsidRPr="00E2467B">
        <w:rPr>
          <w:color w:val="FF0000"/>
        </w:rPr>
        <w:t>(s)</w:t>
      </w:r>
      <w:r w:rsidRPr="00E2467B">
        <w:rPr>
          <w:color w:val="FF0000"/>
        </w:rPr>
        <w:t xml:space="preserve"> </w:t>
      </w:r>
      <w:r w:rsidRPr="00E2467B">
        <w:t xml:space="preserve">in uplink and </w:t>
      </w:r>
      <w:r w:rsidRPr="001F56DD">
        <w:t>the number of scheduled layers is</w:t>
      </w:r>
      <w:r>
        <w:t xml:space="preserve"> </w:t>
      </w:r>
      <w:r w:rsidRPr="001F56DD">
        <w:rPr>
          <w:position w:val="-14"/>
        </w:rPr>
        <w:object w:dxaOrig="680" w:dyaOrig="380" w14:anchorId="22E50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18.75pt" o:ole="">
            <v:imagedata r:id="rId14" o:title=""/>
          </v:shape>
          <o:OLEObject Type="Embed" ProgID="Equation.3" ShapeID="_x0000_i1025" DrawAspect="Content" ObjectID="_1581513146" r:id="rId15"/>
        </w:object>
      </w:r>
      <w:r>
        <w:t>,</w:t>
      </w:r>
    </w:p>
    <w:p w14:paraId="72505B15" w14:textId="2E2AAA56" w:rsidR="00BA411A" w:rsidRPr="00E2467B" w:rsidRDefault="00536B32" w:rsidP="00E2467B">
      <w:pPr>
        <w:ind w:left="567" w:hanging="283"/>
        <w:rPr>
          <w:color w:val="FF0000"/>
        </w:rPr>
      </w:pPr>
      <w:r w:rsidRPr="001F56DD">
        <w:t>-</w:t>
      </w:r>
      <w:r w:rsidRPr="001F56DD">
        <w:tab/>
        <w:t xml:space="preserve">If the UE is configured with higher layer parameter </w:t>
      </w:r>
      <w:r w:rsidRPr="001F56DD">
        <w:rPr>
          <w:i/>
        </w:rPr>
        <w:t>UL-PTRS-power</w:t>
      </w:r>
      <w:r w:rsidRPr="001F56DD">
        <w:t>, the PUSCH to PT-RS power ratio per layer per RE</w:t>
      </w:r>
      <w:r>
        <w:t xml:space="preserve"> </w:t>
      </w:r>
      <w:r w:rsidRPr="001F56DD">
        <w:rPr>
          <w:position w:val="-10"/>
        </w:rPr>
        <w:object w:dxaOrig="700" w:dyaOrig="340" w14:anchorId="474D2278">
          <v:shape id="_x0000_i1026" type="#_x0000_t75" style="width:35.25pt;height:17.25pt" o:ole="">
            <v:imagedata r:id="rId16" o:title=""/>
          </v:shape>
          <o:OLEObject Type="Embed" ProgID="Equation.3" ShapeID="_x0000_i1026" DrawAspect="Content" ObjectID="_1581513147" r:id="rId17"/>
        </w:object>
      </w:r>
      <w:r w:rsidRPr="001B1B4C">
        <w:t xml:space="preserve"> is given by</w:t>
      </w:r>
      <w:r>
        <w:t xml:space="preserve"> </w:t>
      </w:r>
      <w:r w:rsidRPr="001B1B4C">
        <w:rPr>
          <w:position w:val="-10"/>
        </w:rPr>
        <w:object w:dxaOrig="2040" w:dyaOrig="340" w14:anchorId="753022C4">
          <v:shape id="_x0000_i1027" type="#_x0000_t75" style="width:102pt;height:17.25pt" o:ole="">
            <v:imagedata r:id="rId18" o:title=""/>
          </v:shape>
          <o:OLEObject Type="Embed" ProgID="Equation.3" ShapeID="_x0000_i1027" DrawAspect="Content" ObjectID="_1581513148" r:id="rId19"/>
        </w:object>
      </w:r>
      <w:r>
        <w:t xml:space="preserve">, where </w:t>
      </w:r>
      <w:r w:rsidRPr="001B1B4C">
        <w:rPr>
          <w:position w:val="-10"/>
        </w:rPr>
        <w:object w:dxaOrig="700" w:dyaOrig="340" w14:anchorId="52B2BCDA">
          <v:shape id="_x0000_i1028" type="#_x0000_t75" style="width:35.25pt;height:17.25pt" o:ole="">
            <v:imagedata r:id="rId20" o:title=""/>
          </v:shape>
          <o:OLEObject Type="Embed" ProgID="Equation.3" ShapeID="_x0000_i1028" DrawAspect="Content" ObjectID="_1581513149" r:id="rId21"/>
        </w:object>
      </w:r>
      <w:r w:rsidRPr="001B1B4C">
        <w:t xml:space="preserve"> is shown in the Table 6.2.3-5 according to the higher layer parameter </w:t>
      </w:r>
      <w:r w:rsidRPr="001B1B4C">
        <w:rPr>
          <w:i/>
        </w:rPr>
        <w:t>UL-PTRS-power</w:t>
      </w:r>
      <w:r>
        <w:t xml:space="preserve">, </w:t>
      </w:r>
      <w:r w:rsidRPr="00F53AE7">
        <w:t xml:space="preserve">the PT-RS scaling factor </w:t>
      </w:r>
      <w:r w:rsidRPr="00F4011D">
        <w:rPr>
          <w:color w:val="000000"/>
          <w:position w:val="-12"/>
        </w:rPr>
        <w:object w:dxaOrig="639" w:dyaOrig="320" w14:anchorId="2E03D695">
          <v:shape id="_x0000_i1029" type="#_x0000_t75" style="width:32.25pt;height:15.75pt" o:ole="">
            <v:imagedata r:id="rId22" o:title=""/>
          </v:shape>
          <o:OLEObject Type="Embed" ProgID="Equation.3" ShapeID="_x0000_i1029" DrawAspect="Content" ObjectID="_1581513150" r:id="rId23"/>
        </w:object>
      </w:r>
      <w:r w:rsidRPr="00F53AE7">
        <w:t xml:space="preserve"> specified in subclause 7.4.1.2.2 of [4, TS 38.211] is given by </w:t>
      </w:r>
      <w:r w:rsidRPr="00F4011D">
        <w:rPr>
          <w:color w:val="000000"/>
          <w:position w:val="-12"/>
        </w:rPr>
        <w:object w:dxaOrig="1600" w:dyaOrig="560" w14:anchorId="644BCE5F">
          <v:shape id="_x0000_i1030" type="#_x0000_t75" style="width:80.25pt;height:27.75pt" o:ole="">
            <v:imagedata r:id="rId24" o:title=""/>
          </v:shape>
          <o:OLEObject Type="Embed" ProgID="Equation.3" ShapeID="_x0000_i1030" DrawAspect="Content" ObjectID="_1581513151" r:id="rId25"/>
        </w:object>
      </w:r>
      <w:r w:rsidRPr="00F53AE7">
        <w:t xml:space="preserve"> </w:t>
      </w:r>
      <w:r w:rsidR="00874367">
        <w:t xml:space="preserve"> </w:t>
      </w:r>
      <w:r w:rsidR="00874367" w:rsidRPr="00874367">
        <w:rPr>
          <w:color w:val="FF0000"/>
        </w:rPr>
        <w:t xml:space="preserve">and </w:t>
      </w:r>
      <w:r w:rsidR="00AA594A">
        <w:rPr>
          <w:color w:val="FF0000"/>
        </w:rPr>
        <w:t xml:space="preserve">also on the </w:t>
      </w:r>
      <w:bookmarkStart w:id="4" w:name="_GoBack"/>
      <w:bookmarkEnd w:id="4"/>
      <w:r w:rsidR="00874367" w:rsidRPr="00BA411A">
        <w:rPr>
          <w:i/>
          <w:color w:val="FF0000"/>
        </w:rPr>
        <w:t>ULCodebookSubset</w:t>
      </w:r>
      <w:r w:rsidR="00874367" w:rsidRPr="00BA411A">
        <w:rPr>
          <w:rFonts w:hint="eastAsia"/>
          <w:color w:val="FF0000"/>
        </w:rPr>
        <w:t xml:space="preserve"> </w:t>
      </w:r>
      <w:r w:rsidR="00BA411A">
        <w:rPr>
          <w:color w:val="FF0000"/>
        </w:rPr>
        <w:t xml:space="preserve">according to [7,TS38.212]. </w:t>
      </w:r>
    </w:p>
    <w:p w14:paraId="43CD5542" w14:textId="7D0C621E" w:rsidR="00306FF0" w:rsidRDefault="00536B32" w:rsidP="00306FF0">
      <w:pPr>
        <w:ind w:left="567" w:hanging="283"/>
      </w:pPr>
      <w:r>
        <w:t>-</w:t>
      </w:r>
      <w:r>
        <w:tab/>
        <w:t xml:space="preserve">The UE shall assume </w:t>
      </w:r>
      <w:r w:rsidRPr="001B1B4C">
        <w:rPr>
          <w:i/>
        </w:rPr>
        <w:t>UL-PTRS-power</w:t>
      </w:r>
      <w:r w:rsidRPr="001B1B4C">
        <w:t xml:space="preserve"> is set to state “00” in Table 6.2.3-5 if not configured.</w:t>
      </w:r>
    </w:p>
    <w:p w14:paraId="64CC401F" w14:textId="77777777" w:rsidR="00536B32" w:rsidRPr="001B1B4C" w:rsidRDefault="00536B32" w:rsidP="00536B32">
      <w:pPr>
        <w:ind w:left="567" w:hanging="283"/>
        <w:jc w:val="center"/>
        <w:rPr>
          <w:rFonts w:ascii="Arial" w:hAnsi="Arial" w:cs="Arial"/>
        </w:rPr>
      </w:pPr>
      <w:r w:rsidRPr="001B1B4C">
        <w:rPr>
          <w:rFonts w:ascii="Arial" w:hAnsi="Arial" w:cs="Arial"/>
          <w:b/>
          <w:szCs w:val="22"/>
        </w:rPr>
        <w:t>Table 6.2.3-5: Factor related to PUSCH to PTRS power ratio per layer per RE</w:t>
      </w:r>
      <w:r>
        <w:rPr>
          <w:rFonts w:ascii="Arial" w:hAnsi="Arial" w:cs="Arial"/>
          <w:b/>
          <w:szCs w:val="22"/>
        </w:rPr>
        <w:t xml:space="preserve"> </w:t>
      </w:r>
      <w:r w:rsidRPr="001B1B4C">
        <w:rPr>
          <w:position w:val="-10"/>
        </w:rPr>
        <w:object w:dxaOrig="700" w:dyaOrig="340" w14:anchorId="4B38EDD9">
          <v:shape id="_x0000_i1031" type="#_x0000_t75" style="width:35.25pt;height:17.25pt" o:ole="">
            <v:imagedata r:id="rId20" o:title=""/>
          </v:shape>
          <o:OLEObject Type="Embed" ProgID="Equation.3" ShapeID="_x0000_i1031" DrawAspect="Content" ObjectID="_1581513152" r:id="rId26"/>
        </w:objec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596"/>
        <w:gridCol w:w="963"/>
        <w:gridCol w:w="1045"/>
        <w:gridCol w:w="836"/>
        <w:gridCol w:w="1033"/>
        <w:gridCol w:w="836"/>
        <w:gridCol w:w="836"/>
        <w:gridCol w:w="956"/>
      </w:tblGrid>
      <w:tr w:rsidR="00E2467B" w:rsidRPr="00E2467B" w14:paraId="660F9005" w14:textId="05B34DD9" w:rsidTr="00DA2EF2">
        <w:trPr>
          <w:trHeight w:val="395"/>
          <w:jc w:val="center"/>
        </w:trPr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AC4D954" w14:textId="77777777" w:rsidR="00536B32" w:rsidRPr="00E2467B" w:rsidRDefault="00536B32" w:rsidP="00536B32">
            <w:pPr>
              <w:pStyle w:val="TAH"/>
              <w:snapToGrid w:val="0"/>
              <w:rPr>
                <w:rFonts w:eastAsia="Batang" w:cs="Arial"/>
                <w:color w:val="FF0000"/>
                <w:szCs w:val="18"/>
                <w:lang w:val="en-US"/>
              </w:rPr>
            </w:pPr>
            <w:r w:rsidRPr="00E2467B">
              <w:rPr>
                <w:rFonts w:cs="Arial"/>
                <w:i/>
                <w:color w:val="FF0000"/>
                <w:szCs w:val="18"/>
                <w:lang w:val="en-US"/>
              </w:rPr>
              <w:t xml:space="preserve">UL-PTRS-power / </w:t>
            </w:r>
            <w:r w:rsidRPr="00E2467B">
              <w:rPr>
                <w:rFonts w:eastAsia="Calibri" w:cs="Arial"/>
                <w:color w:val="FF0000"/>
                <w:position w:val="-12"/>
                <w:szCs w:val="18"/>
                <w:lang w:val="en-US"/>
              </w:rPr>
              <w:object w:dxaOrig="720" w:dyaOrig="375" w14:anchorId="620987C7">
                <v:shape id="_x0000_i2003" type="#_x0000_t75" style="width:36pt;height:18.75pt" o:ole="">
                  <v:imagedata r:id="rId27" o:title=""/>
                </v:shape>
                <o:OLEObject Type="Embed" ProgID="Equation.3" ShapeID="_x0000_i2003" DrawAspect="Content" ObjectID="_1581513153" r:id="rId28"/>
              </w:object>
            </w:r>
          </w:p>
        </w:tc>
        <w:tc>
          <w:tcPr>
            <w:tcW w:w="7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CD22CDB" w14:textId="77777777" w:rsidR="00536B32" w:rsidRPr="00E2467B" w:rsidRDefault="00536B32" w:rsidP="00536B32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color w:val="FF0000"/>
                <w:szCs w:val="18"/>
                <w:lang w:val="en-US"/>
              </w:rPr>
            </w:pPr>
            <w:r w:rsidRPr="00E2467B">
              <w:rPr>
                <w:rFonts w:cs="Arial"/>
                <w:color w:val="FF0000"/>
                <w:szCs w:val="18"/>
                <w:lang w:val="en-US"/>
              </w:rPr>
              <w:t xml:space="preserve">The number of PUSCH layers ( </w:t>
            </w:r>
            <w:r w:rsidRPr="00E2467B">
              <w:rPr>
                <w:rFonts w:eastAsia="Calibri" w:cs="Arial"/>
                <w:color w:val="FF0000"/>
                <w:position w:val="-14"/>
                <w:szCs w:val="18"/>
                <w:lang w:val="en-US"/>
              </w:rPr>
              <w:object w:dxaOrig="720" w:dyaOrig="420" w14:anchorId="22AAD75A">
                <v:shape id="_x0000_i2004" type="#_x0000_t75" style="width:36pt;height:21pt" o:ole="">
                  <v:imagedata r:id="rId29" o:title=""/>
                </v:shape>
                <o:OLEObject Type="Embed" ProgID="Equation.3" ShapeID="_x0000_i2004" DrawAspect="Content" ObjectID="_1581513154" r:id="rId30"/>
              </w:object>
            </w:r>
            <w:r w:rsidRPr="00E2467B">
              <w:rPr>
                <w:rFonts w:cs="Arial"/>
                <w:color w:val="FF0000"/>
                <w:szCs w:val="18"/>
                <w:lang w:val="en-US"/>
              </w:rPr>
              <w:t>)</w:t>
            </w:r>
          </w:p>
        </w:tc>
      </w:tr>
      <w:tr w:rsidR="00E2467B" w:rsidRPr="00E2467B" w14:paraId="1D5D6139" w14:textId="77777777" w:rsidTr="00DA2EF2">
        <w:trPr>
          <w:trHeight w:val="238"/>
          <w:jc w:val="center"/>
        </w:trPr>
        <w:tc>
          <w:tcPr>
            <w:tcW w:w="11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14EE13" w14:textId="77777777" w:rsidR="00536B32" w:rsidRPr="00E2467B" w:rsidRDefault="00536B32" w:rsidP="00536B32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3FE3C14" w14:textId="77777777" w:rsidR="00536B32" w:rsidRPr="00E2467B" w:rsidRDefault="00536B32" w:rsidP="00536B32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color w:val="FF0000"/>
                <w:szCs w:val="18"/>
                <w:lang w:val="en-US" w:eastAsia="ko-KR"/>
              </w:rPr>
              <w:t>1</w:t>
            </w:r>
          </w:p>
        </w:tc>
        <w:tc>
          <w:tcPr>
            <w:tcW w:w="20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B3CEC6" w14:textId="4A48C65B" w:rsidR="00536B32" w:rsidRPr="00E2467B" w:rsidRDefault="00536B32" w:rsidP="00536B32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color w:val="FF0000"/>
                <w:szCs w:val="18"/>
                <w:lang w:val="en-US" w:eastAsia="ko-KR"/>
              </w:rPr>
              <w:t>2</w:t>
            </w:r>
          </w:p>
        </w:tc>
        <w:tc>
          <w:tcPr>
            <w:tcW w:w="18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B537167" w14:textId="6519F7E6" w:rsidR="00536B32" w:rsidRPr="00E2467B" w:rsidRDefault="00536B32" w:rsidP="00536B32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color w:val="FF0000"/>
                <w:szCs w:val="18"/>
                <w:lang w:val="en-US" w:eastAsia="ko-KR"/>
              </w:rPr>
              <w:t>3</w:t>
            </w:r>
          </w:p>
        </w:tc>
        <w:tc>
          <w:tcPr>
            <w:tcW w:w="26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B3267B7" w14:textId="68D8C486" w:rsidR="00536B32" w:rsidRPr="00E2467B" w:rsidRDefault="00DA2EF2" w:rsidP="00536B32">
            <w:pPr>
              <w:pStyle w:val="TAH"/>
              <w:tabs>
                <w:tab w:val="num" w:pos="851"/>
              </w:tabs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color w:val="FF0000"/>
                <w:szCs w:val="18"/>
                <w:lang w:val="en-US" w:eastAsia="ko-KR"/>
              </w:rPr>
              <w:t>4</w:t>
            </w:r>
          </w:p>
        </w:tc>
      </w:tr>
      <w:tr w:rsidR="00E2467B" w:rsidRPr="00E2467B" w14:paraId="4C5587F2" w14:textId="4E5398E5" w:rsidTr="00DA2EF2">
        <w:trPr>
          <w:trHeight w:val="208"/>
          <w:jc w:val="center"/>
        </w:trPr>
        <w:tc>
          <w:tcPr>
            <w:tcW w:w="1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A9E4" w14:textId="77777777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6B7" w14:textId="59D257C3" w:rsidR="00DA2EF2" w:rsidRPr="00306FF0" w:rsidRDefault="00306FF0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306FF0">
              <w:rPr>
                <w:rFonts w:cs="Arial"/>
                <w:b w:val="0"/>
                <w:color w:val="FF0000"/>
                <w:szCs w:val="18"/>
                <w:lang w:eastAsia="ko-KR"/>
              </w:rPr>
              <w:t>All cases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783" w14:textId="79B4D6C3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Full coherent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D31" w14:textId="78DE7103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Partial and non-coherent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51CCC" w14:textId="1D0D488F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Full coherent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56B7" w14:textId="36DFAE5F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Partial and non-coherent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A0A4" w14:textId="02E824E0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Full coherent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E9AB" w14:textId="77777777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 xml:space="preserve">Partial </w:t>
            </w:r>
          </w:p>
          <w:p w14:paraId="0EA5A86D" w14:textId="4CF678FD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coherent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5910" w14:textId="7EDE7D9B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Non-coherent</w:t>
            </w:r>
          </w:p>
        </w:tc>
      </w:tr>
      <w:tr w:rsidR="00E2467B" w:rsidRPr="00E2467B" w14:paraId="574044B7" w14:textId="471BB8A5" w:rsidTr="00DA2EF2">
        <w:trPr>
          <w:trHeight w:val="208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77A23" w14:textId="77777777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color w:val="FF0000"/>
                <w:szCs w:val="18"/>
                <w:lang w:val="en-US" w:eastAsia="ko-KR"/>
              </w:rPr>
              <w:t>00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4D8E" w14:textId="783135F2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7A680" w14:textId="039D63AE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AF382" w14:textId="23B8D28A" w:rsidR="00DA2EF2" w:rsidRPr="00E2467B" w:rsidRDefault="00BA411A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color w:val="FF0000"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3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color w:val="FF0000"/>
                    <w:sz w:val="20"/>
                    <w:lang w:eastAsia="zh-CN"/>
                  </w:rPr>
                  <m:t>-3</m:t>
                </m:r>
              </m:oMath>
            </m:oMathPara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2D4F" w14:textId="36667873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4.77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A81D" w14:textId="63B466E6" w:rsidR="00DA2EF2" w:rsidRPr="00E2467B" w:rsidRDefault="00BA411A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0"/>
                    <w:lang w:eastAsia="zh-CN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color w:val="FF0000"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color w:val="FF0000"/>
                    <w:sz w:val="20"/>
                    <w:lang w:eastAsia="zh-CN"/>
                  </w:rPr>
                  <m:t>-3</m:t>
                </m:r>
              </m:oMath>
            </m:oMathPara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F8C1" w14:textId="044C8519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11A5" w14:textId="07B9E9E9" w:rsidR="00DA2EF2" w:rsidRPr="00E2467B" w:rsidRDefault="00BA411A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0"/>
                    <w:lang w:eastAsia="zh-CN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color w:val="FF0000"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sub>
                </m:sSub>
              </m:oMath>
            </m:oMathPara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6C15" w14:textId="77AE6682" w:rsidR="00DA2EF2" w:rsidRPr="00E2467B" w:rsidRDefault="00BA411A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m:oMathPara>
              <m:oMath>
                <m:r>
                  <w:rPr>
                    <w:rFonts w:ascii="Cambria Math" w:hAnsi="Cambria Math"/>
                    <w:color w:val="FF0000"/>
                    <w:sz w:val="20"/>
                    <w:lang w:eastAsia="zh-CN"/>
                  </w:rPr>
                  <m:t>3</m:t>
                </m:r>
                <m:sSub>
                  <m:sSubPr>
                    <m:ctrlPr>
                      <w:rPr>
                        <w:rFonts w:ascii="Cambria Math" w:hAnsi="Cambria Math"/>
                        <w:b w:val="0"/>
                        <w:i/>
                        <w:color w:val="FF0000"/>
                        <w:sz w:val="20"/>
                        <w:lang w:eastAsia="zh-CN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Q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p</m:t>
                    </m:r>
                  </m:sub>
                </m:sSub>
                <m:r>
                  <w:rPr>
                    <w:rFonts w:ascii="Cambria Math" w:hAnsi="Cambria Math"/>
                    <w:color w:val="FF0000"/>
                    <w:sz w:val="20"/>
                    <w:lang w:eastAsia="zh-CN"/>
                  </w:rPr>
                  <m:t>-3</m:t>
                </m:r>
              </m:oMath>
            </m:oMathPara>
          </w:p>
        </w:tc>
      </w:tr>
      <w:tr w:rsidR="00E2467B" w:rsidRPr="00E2467B" w14:paraId="58B796B8" w14:textId="43B65F88" w:rsidTr="00DA2EF2">
        <w:trPr>
          <w:trHeight w:val="19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90DE0" w14:textId="77777777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color w:val="FF0000"/>
                <w:szCs w:val="18"/>
                <w:lang w:val="en-US" w:eastAsia="ko-KR"/>
              </w:rPr>
              <w:t>01</w:t>
            </w: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2BB5" w14:textId="171C9EE4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0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71CD" w14:textId="1630D73D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D232" w14:textId="07BEFF0B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73170" w14:textId="20B0861E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4.77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6B95" w14:textId="3E4A86FC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4.77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049C3" w14:textId="6751BEDE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6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4B719" w14:textId="0F60E247" w:rsidR="00DA2EF2" w:rsidRPr="00E2467B" w:rsidRDefault="00DA2EF2" w:rsidP="00DA2EF2">
            <w:pPr>
              <w:pStyle w:val="TAH"/>
              <w:snapToGrid w:val="0"/>
              <w:jc w:val="both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 xml:space="preserve">   6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B853" w14:textId="3B126FE3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6</w:t>
            </w:r>
          </w:p>
        </w:tc>
      </w:tr>
      <w:tr w:rsidR="00E2467B" w:rsidRPr="00E2467B" w14:paraId="13CE2181" w14:textId="402D5BA9" w:rsidTr="00416E32">
        <w:trPr>
          <w:trHeight w:val="19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F420" w14:textId="77777777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color w:val="FF0000"/>
                <w:szCs w:val="18"/>
                <w:lang w:val="en-US" w:eastAsia="ko-KR"/>
              </w:rPr>
              <w:t>10</w:t>
            </w:r>
          </w:p>
        </w:tc>
        <w:tc>
          <w:tcPr>
            <w:tcW w:w="7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4899" w14:textId="40720989" w:rsidR="00DA2EF2" w:rsidRPr="00E2467B" w:rsidRDefault="00874367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Reserved</w:t>
            </w:r>
          </w:p>
        </w:tc>
      </w:tr>
      <w:tr w:rsidR="00E2467B" w:rsidRPr="00E2467B" w14:paraId="63ADAB3A" w14:textId="59D8286A" w:rsidTr="00DA2EF2">
        <w:trPr>
          <w:trHeight w:val="197"/>
          <w:jc w:val="center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80291" w14:textId="77777777" w:rsidR="00DA2EF2" w:rsidRPr="00E2467B" w:rsidRDefault="00DA2EF2" w:rsidP="00DA2EF2">
            <w:pPr>
              <w:pStyle w:val="TAH"/>
              <w:snapToGrid w:val="0"/>
              <w:rPr>
                <w:rFonts w:eastAsia="Batang" w:cs="Arial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color w:val="FF0000"/>
                <w:szCs w:val="18"/>
                <w:lang w:val="en-US" w:eastAsia="ko-KR"/>
              </w:rPr>
              <w:t>11</w:t>
            </w:r>
          </w:p>
        </w:tc>
        <w:tc>
          <w:tcPr>
            <w:tcW w:w="71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35175" w14:textId="155CEC70" w:rsidR="00DA2EF2" w:rsidRPr="00E2467B" w:rsidRDefault="00874367" w:rsidP="00DA2EF2">
            <w:pPr>
              <w:pStyle w:val="TAH"/>
              <w:snapToGrid w:val="0"/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</w:pPr>
            <w:r w:rsidRPr="00E2467B">
              <w:rPr>
                <w:rFonts w:eastAsia="Batang" w:cs="Arial"/>
                <w:b w:val="0"/>
                <w:color w:val="FF0000"/>
                <w:szCs w:val="18"/>
                <w:lang w:val="en-US" w:eastAsia="ko-KR"/>
              </w:rPr>
              <w:t>Reserved</w:t>
            </w:r>
          </w:p>
        </w:tc>
      </w:tr>
    </w:tbl>
    <w:p w14:paraId="46B62844" w14:textId="77777777" w:rsidR="00536B32" w:rsidRPr="00536B32" w:rsidRDefault="00536B32" w:rsidP="00536B32">
      <w:pPr>
        <w:rPr>
          <w:lang w:eastAsia="ko-KR"/>
        </w:rPr>
      </w:pPr>
    </w:p>
    <w:p w14:paraId="1C77910E" w14:textId="121F0D12" w:rsidR="00536B32" w:rsidRDefault="00536B32" w:rsidP="00EA0C0D">
      <w:pPr>
        <w:rPr>
          <w:lang w:eastAsia="ko-KR"/>
        </w:rPr>
      </w:pPr>
    </w:p>
    <w:p w14:paraId="4C45357E" w14:textId="77777777" w:rsidR="00536B32" w:rsidRPr="00EA0C0D" w:rsidRDefault="00536B32" w:rsidP="00EA0C0D">
      <w:pPr>
        <w:rPr>
          <w:lang w:eastAsia="ko-KR"/>
        </w:rPr>
      </w:pPr>
    </w:p>
    <w:sectPr w:rsidR="00536B32" w:rsidRPr="00EA0C0D">
      <w:headerReference w:type="even" r:id="rId31"/>
      <w:footerReference w:type="default" r:id="rId32"/>
      <w:footnotePr>
        <w:numRestart w:val="eachSect"/>
      </w:footnotePr>
      <w:pgSz w:w="12240" w:h="15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0F088" w14:textId="77777777" w:rsidR="002C70AE" w:rsidRDefault="002C70AE">
      <w:pPr>
        <w:spacing w:after="0"/>
      </w:pPr>
      <w:r>
        <w:separator/>
      </w:r>
    </w:p>
  </w:endnote>
  <w:endnote w:type="continuationSeparator" w:id="0">
    <w:p w14:paraId="0E849EDD" w14:textId="77777777" w:rsidR="002C70AE" w:rsidRDefault="002C70A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DEDDC2" w14:textId="5912C5E7" w:rsidR="00D851B7" w:rsidRDefault="00D851B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594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A594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BFF71" w14:textId="77777777" w:rsidR="002C70AE" w:rsidRDefault="002C70AE">
      <w:pPr>
        <w:spacing w:after="0"/>
      </w:pPr>
      <w:r>
        <w:separator/>
      </w:r>
    </w:p>
  </w:footnote>
  <w:footnote w:type="continuationSeparator" w:id="0">
    <w:p w14:paraId="0ADCB413" w14:textId="77777777" w:rsidR="002C70AE" w:rsidRDefault="002C70A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1B3FE8" w14:textId="77777777" w:rsidR="00D851B7" w:rsidRDefault="00D851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3552"/>
        </w:tabs>
        <w:ind w:left="355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786EF1"/>
    <w:multiLevelType w:val="multilevel"/>
    <w:tmpl w:val="02786EF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B23234"/>
    <w:multiLevelType w:val="hybridMultilevel"/>
    <w:tmpl w:val="0CDEFF2C"/>
    <w:lvl w:ilvl="0" w:tplc="974600D4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159B0E58"/>
    <w:multiLevelType w:val="multilevel"/>
    <w:tmpl w:val="159B0E58"/>
    <w:lvl w:ilvl="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A31"/>
    <w:multiLevelType w:val="multilevel"/>
    <w:tmpl w:val="1D3F3A31"/>
    <w:lvl w:ilvl="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theme="minorBidi" w:hint="default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400D2"/>
    <w:multiLevelType w:val="multilevel"/>
    <w:tmpl w:val="226400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9F4BBB"/>
    <w:multiLevelType w:val="multilevel"/>
    <w:tmpl w:val="279F4BB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282A02"/>
    <w:multiLevelType w:val="hybridMultilevel"/>
    <w:tmpl w:val="8A1CCD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2613E4"/>
    <w:multiLevelType w:val="multilevel"/>
    <w:tmpl w:val="3A2613E4"/>
    <w:lvl w:ilvl="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06053E3"/>
    <w:multiLevelType w:val="multilevel"/>
    <w:tmpl w:val="406053E3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36CD6"/>
    <w:multiLevelType w:val="hybridMultilevel"/>
    <w:tmpl w:val="F47E32F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49E35809"/>
    <w:multiLevelType w:val="multilevel"/>
    <w:tmpl w:val="49E358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45E9C"/>
    <w:multiLevelType w:val="multilevel"/>
    <w:tmpl w:val="4A945E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1" w15:restartNumberingAfterBreak="0">
    <w:nsid w:val="4C5D46CA"/>
    <w:multiLevelType w:val="hybridMultilevel"/>
    <w:tmpl w:val="005C12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171CE"/>
    <w:multiLevelType w:val="hybridMultilevel"/>
    <w:tmpl w:val="7248B9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8971FA"/>
    <w:multiLevelType w:val="hybridMultilevel"/>
    <w:tmpl w:val="9258C6CC"/>
    <w:lvl w:ilvl="0" w:tplc="041D0001">
      <w:start w:val="1"/>
      <w:numFmt w:val="bullet"/>
      <w:lvlText w:val=""/>
      <w:lvlJc w:val="left"/>
      <w:pPr>
        <w:ind w:left="16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abstractNum w:abstractNumId="26" w15:restartNumberingAfterBreak="0">
    <w:nsid w:val="62A50F2C"/>
    <w:multiLevelType w:val="multilevel"/>
    <w:tmpl w:val="62A50F2C"/>
    <w:lvl w:ilvl="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7D8826D2"/>
    <w:multiLevelType w:val="hybridMultilevel"/>
    <w:tmpl w:val="F680352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23"/>
  </w:num>
  <w:num w:numId="4">
    <w:abstractNumId w:val="16"/>
  </w:num>
  <w:num w:numId="5">
    <w:abstractNumId w:val="10"/>
  </w:num>
  <w:num w:numId="6">
    <w:abstractNumId w:val="14"/>
  </w:num>
  <w:num w:numId="7">
    <w:abstractNumId w:val="20"/>
  </w:num>
  <w:num w:numId="8">
    <w:abstractNumId w:val="13"/>
  </w:num>
  <w:num w:numId="9">
    <w:abstractNumId w:val="22"/>
  </w:num>
  <w:num w:numId="10">
    <w:abstractNumId w:val="12"/>
  </w:num>
  <w:num w:numId="11">
    <w:abstractNumId w:val="18"/>
  </w:num>
  <w:num w:numId="12">
    <w:abstractNumId w:val="7"/>
  </w:num>
  <w:num w:numId="13">
    <w:abstractNumId w:val="5"/>
  </w:num>
  <w:num w:numId="14">
    <w:abstractNumId w:val="6"/>
  </w:num>
  <w:num w:numId="15">
    <w:abstractNumId w:val="19"/>
  </w:num>
  <w:num w:numId="16">
    <w:abstractNumId w:val="15"/>
  </w:num>
  <w:num w:numId="17">
    <w:abstractNumId w:val="2"/>
  </w:num>
  <w:num w:numId="18">
    <w:abstractNumId w:val="26"/>
  </w:num>
  <w:num w:numId="19">
    <w:abstractNumId w:val="8"/>
  </w:num>
  <w:num w:numId="20">
    <w:abstractNumId w:val="17"/>
  </w:num>
  <w:num w:numId="21">
    <w:abstractNumId w:val="13"/>
  </w:num>
  <w:num w:numId="22">
    <w:abstractNumId w:val="25"/>
  </w:num>
  <w:num w:numId="23">
    <w:abstractNumId w:val="21"/>
  </w:num>
  <w:num w:numId="24">
    <w:abstractNumId w:val="4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9"/>
  </w:num>
  <w:num w:numId="28">
    <w:abstractNumId w:val="26"/>
  </w:num>
  <w:num w:numId="29">
    <w:abstractNumId w:val="24"/>
  </w:num>
  <w:num w:numId="30">
    <w:abstractNumId w:val="3"/>
  </w:num>
  <w:num w:numId="31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attachedTemplate r:id="rId1"/>
  <w:linkStyl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0FDF"/>
    <w:rsid w:val="00001B41"/>
    <w:rsid w:val="00002A37"/>
    <w:rsid w:val="00003F5E"/>
    <w:rsid w:val="00006446"/>
    <w:rsid w:val="00006896"/>
    <w:rsid w:val="00007CDC"/>
    <w:rsid w:val="00011B28"/>
    <w:rsid w:val="00015D15"/>
    <w:rsid w:val="00017C88"/>
    <w:rsid w:val="00020FBE"/>
    <w:rsid w:val="00024B27"/>
    <w:rsid w:val="0002564D"/>
    <w:rsid w:val="00025ECA"/>
    <w:rsid w:val="00030B30"/>
    <w:rsid w:val="000325B8"/>
    <w:rsid w:val="00034B48"/>
    <w:rsid w:val="00034C15"/>
    <w:rsid w:val="00036BA1"/>
    <w:rsid w:val="00042009"/>
    <w:rsid w:val="000422E2"/>
    <w:rsid w:val="00042F22"/>
    <w:rsid w:val="00043456"/>
    <w:rsid w:val="000444EF"/>
    <w:rsid w:val="00052A07"/>
    <w:rsid w:val="000534E3"/>
    <w:rsid w:val="00054B62"/>
    <w:rsid w:val="0005606A"/>
    <w:rsid w:val="00057117"/>
    <w:rsid w:val="000616E7"/>
    <w:rsid w:val="0006407F"/>
    <w:rsid w:val="0006487E"/>
    <w:rsid w:val="00065E1A"/>
    <w:rsid w:val="00065F58"/>
    <w:rsid w:val="00077E5F"/>
    <w:rsid w:val="0008036A"/>
    <w:rsid w:val="00081AE6"/>
    <w:rsid w:val="000855EB"/>
    <w:rsid w:val="00085B52"/>
    <w:rsid w:val="000866F2"/>
    <w:rsid w:val="00087223"/>
    <w:rsid w:val="0009009F"/>
    <w:rsid w:val="00091557"/>
    <w:rsid w:val="000924C1"/>
    <w:rsid w:val="000924F0"/>
    <w:rsid w:val="00092690"/>
    <w:rsid w:val="00093474"/>
    <w:rsid w:val="0009510F"/>
    <w:rsid w:val="000A1B7B"/>
    <w:rsid w:val="000A1FC8"/>
    <w:rsid w:val="000A23E6"/>
    <w:rsid w:val="000A3A19"/>
    <w:rsid w:val="000A56F2"/>
    <w:rsid w:val="000A7DA4"/>
    <w:rsid w:val="000B01D9"/>
    <w:rsid w:val="000B2339"/>
    <w:rsid w:val="000B2719"/>
    <w:rsid w:val="000B3A8F"/>
    <w:rsid w:val="000B3F04"/>
    <w:rsid w:val="000B4AB9"/>
    <w:rsid w:val="000B58C3"/>
    <w:rsid w:val="000B61E9"/>
    <w:rsid w:val="000B7649"/>
    <w:rsid w:val="000C165A"/>
    <w:rsid w:val="000C1DE3"/>
    <w:rsid w:val="000C2E19"/>
    <w:rsid w:val="000C4C24"/>
    <w:rsid w:val="000C5734"/>
    <w:rsid w:val="000D0D07"/>
    <w:rsid w:val="000D4797"/>
    <w:rsid w:val="000D4995"/>
    <w:rsid w:val="000D5756"/>
    <w:rsid w:val="000D5D37"/>
    <w:rsid w:val="000E0527"/>
    <w:rsid w:val="000E1E92"/>
    <w:rsid w:val="000E1ECA"/>
    <w:rsid w:val="000F06D6"/>
    <w:rsid w:val="000F0EB1"/>
    <w:rsid w:val="000F1106"/>
    <w:rsid w:val="000F3BE9"/>
    <w:rsid w:val="000F3F6C"/>
    <w:rsid w:val="000F65B2"/>
    <w:rsid w:val="000F6DF3"/>
    <w:rsid w:val="001005FF"/>
    <w:rsid w:val="001062FB"/>
    <w:rsid w:val="001063E6"/>
    <w:rsid w:val="001117F8"/>
    <w:rsid w:val="00111A2D"/>
    <w:rsid w:val="00113CF4"/>
    <w:rsid w:val="001153EA"/>
    <w:rsid w:val="00115643"/>
    <w:rsid w:val="00116765"/>
    <w:rsid w:val="001219F5"/>
    <w:rsid w:val="00121A20"/>
    <w:rsid w:val="00121D47"/>
    <w:rsid w:val="0012312B"/>
    <w:rsid w:val="0012377F"/>
    <w:rsid w:val="00124314"/>
    <w:rsid w:val="00126B4A"/>
    <w:rsid w:val="00132FD0"/>
    <w:rsid w:val="001344C0"/>
    <w:rsid w:val="001346FA"/>
    <w:rsid w:val="00135252"/>
    <w:rsid w:val="00135C4C"/>
    <w:rsid w:val="00137AB5"/>
    <w:rsid w:val="00137F0B"/>
    <w:rsid w:val="001422F4"/>
    <w:rsid w:val="001468F5"/>
    <w:rsid w:val="00151E23"/>
    <w:rsid w:val="001526E0"/>
    <w:rsid w:val="0015373E"/>
    <w:rsid w:val="001551B5"/>
    <w:rsid w:val="001642D1"/>
    <w:rsid w:val="001659C1"/>
    <w:rsid w:val="00171AD9"/>
    <w:rsid w:val="00173A8E"/>
    <w:rsid w:val="0018143F"/>
    <w:rsid w:val="00190AC1"/>
    <w:rsid w:val="0019174B"/>
    <w:rsid w:val="0019341A"/>
    <w:rsid w:val="00197DF9"/>
    <w:rsid w:val="001A1987"/>
    <w:rsid w:val="001A2564"/>
    <w:rsid w:val="001A5B2B"/>
    <w:rsid w:val="001A5F1E"/>
    <w:rsid w:val="001A6173"/>
    <w:rsid w:val="001A6CBA"/>
    <w:rsid w:val="001A6E14"/>
    <w:rsid w:val="001B0D97"/>
    <w:rsid w:val="001B2E39"/>
    <w:rsid w:val="001B5A5D"/>
    <w:rsid w:val="001C1CE5"/>
    <w:rsid w:val="001C3D2A"/>
    <w:rsid w:val="001C3E96"/>
    <w:rsid w:val="001D3DB5"/>
    <w:rsid w:val="001D51BA"/>
    <w:rsid w:val="001D5F35"/>
    <w:rsid w:val="001D62CE"/>
    <w:rsid w:val="001D6342"/>
    <w:rsid w:val="001D6D53"/>
    <w:rsid w:val="001E2560"/>
    <w:rsid w:val="001E58E2"/>
    <w:rsid w:val="001E65A2"/>
    <w:rsid w:val="001E7AED"/>
    <w:rsid w:val="001F3916"/>
    <w:rsid w:val="001F54C5"/>
    <w:rsid w:val="001F662C"/>
    <w:rsid w:val="001F7074"/>
    <w:rsid w:val="00200490"/>
    <w:rsid w:val="00201F3A"/>
    <w:rsid w:val="002025CB"/>
    <w:rsid w:val="00203F96"/>
    <w:rsid w:val="002069B2"/>
    <w:rsid w:val="00207FA3"/>
    <w:rsid w:val="00214DA8"/>
    <w:rsid w:val="00215423"/>
    <w:rsid w:val="00215636"/>
    <w:rsid w:val="002158FA"/>
    <w:rsid w:val="00220600"/>
    <w:rsid w:val="00220DD8"/>
    <w:rsid w:val="002224DB"/>
    <w:rsid w:val="00223527"/>
    <w:rsid w:val="00223FCB"/>
    <w:rsid w:val="002252C3"/>
    <w:rsid w:val="0022586F"/>
    <w:rsid w:val="00225C54"/>
    <w:rsid w:val="00230765"/>
    <w:rsid w:val="002319E4"/>
    <w:rsid w:val="00235632"/>
    <w:rsid w:val="00235872"/>
    <w:rsid w:val="0023674E"/>
    <w:rsid w:val="002372A8"/>
    <w:rsid w:val="00240EFE"/>
    <w:rsid w:val="00240F3F"/>
    <w:rsid w:val="00241559"/>
    <w:rsid w:val="002435B3"/>
    <w:rsid w:val="00244102"/>
    <w:rsid w:val="00244841"/>
    <w:rsid w:val="002451ED"/>
    <w:rsid w:val="002458EB"/>
    <w:rsid w:val="002500C8"/>
    <w:rsid w:val="00257543"/>
    <w:rsid w:val="00261113"/>
    <w:rsid w:val="002611E7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D8D"/>
    <w:rsid w:val="00273278"/>
    <w:rsid w:val="002737F4"/>
    <w:rsid w:val="00273B1D"/>
    <w:rsid w:val="0027691D"/>
    <w:rsid w:val="00277926"/>
    <w:rsid w:val="002805F5"/>
    <w:rsid w:val="00280751"/>
    <w:rsid w:val="0028280A"/>
    <w:rsid w:val="00286ACD"/>
    <w:rsid w:val="00287838"/>
    <w:rsid w:val="002903A2"/>
    <w:rsid w:val="002907B5"/>
    <w:rsid w:val="00292EB7"/>
    <w:rsid w:val="00296227"/>
    <w:rsid w:val="00296F44"/>
    <w:rsid w:val="0029777D"/>
    <w:rsid w:val="002A055E"/>
    <w:rsid w:val="002A1D4E"/>
    <w:rsid w:val="002A2869"/>
    <w:rsid w:val="002A2E9D"/>
    <w:rsid w:val="002A2F4E"/>
    <w:rsid w:val="002B24D6"/>
    <w:rsid w:val="002B2E7E"/>
    <w:rsid w:val="002C0305"/>
    <w:rsid w:val="002C41E6"/>
    <w:rsid w:val="002C6F70"/>
    <w:rsid w:val="002C70AE"/>
    <w:rsid w:val="002D071A"/>
    <w:rsid w:val="002D21E2"/>
    <w:rsid w:val="002D2286"/>
    <w:rsid w:val="002D34B2"/>
    <w:rsid w:val="002D7637"/>
    <w:rsid w:val="002E17F2"/>
    <w:rsid w:val="002E19D2"/>
    <w:rsid w:val="002E7CAE"/>
    <w:rsid w:val="002F0E5E"/>
    <w:rsid w:val="002F2598"/>
    <w:rsid w:val="002F2771"/>
    <w:rsid w:val="002F37A9"/>
    <w:rsid w:val="002F3A79"/>
    <w:rsid w:val="002F6288"/>
    <w:rsid w:val="002F6A06"/>
    <w:rsid w:val="00301CE6"/>
    <w:rsid w:val="0030256B"/>
    <w:rsid w:val="00303A1A"/>
    <w:rsid w:val="0030501F"/>
    <w:rsid w:val="00306FF0"/>
    <w:rsid w:val="00307BA1"/>
    <w:rsid w:val="00311702"/>
    <w:rsid w:val="00311E82"/>
    <w:rsid w:val="00313FD6"/>
    <w:rsid w:val="003143BD"/>
    <w:rsid w:val="003203ED"/>
    <w:rsid w:val="00321FBE"/>
    <w:rsid w:val="00322C9F"/>
    <w:rsid w:val="00324D23"/>
    <w:rsid w:val="00327997"/>
    <w:rsid w:val="00331751"/>
    <w:rsid w:val="00331B7B"/>
    <w:rsid w:val="00334579"/>
    <w:rsid w:val="00334BEF"/>
    <w:rsid w:val="00335858"/>
    <w:rsid w:val="00336787"/>
    <w:rsid w:val="00336B8B"/>
    <w:rsid w:val="00336BDA"/>
    <w:rsid w:val="00342BD7"/>
    <w:rsid w:val="00342D78"/>
    <w:rsid w:val="00346DB5"/>
    <w:rsid w:val="00346FC1"/>
    <w:rsid w:val="003477B1"/>
    <w:rsid w:val="0035058F"/>
    <w:rsid w:val="00356A14"/>
    <w:rsid w:val="00357380"/>
    <w:rsid w:val="003602D9"/>
    <w:rsid w:val="003604CE"/>
    <w:rsid w:val="00361931"/>
    <w:rsid w:val="00370E47"/>
    <w:rsid w:val="00373A2B"/>
    <w:rsid w:val="003742AC"/>
    <w:rsid w:val="00374ADB"/>
    <w:rsid w:val="0037737E"/>
    <w:rsid w:val="00377CE1"/>
    <w:rsid w:val="003815ED"/>
    <w:rsid w:val="00383BE4"/>
    <w:rsid w:val="00385BF0"/>
    <w:rsid w:val="0038659F"/>
    <w:rsid w:val="003939FF"/>
    <w:rsid w:val="003A0BCD"/>
    <w:rsid w:val="003A0E41"/>
    <w:rsid w:val="003A2223"/>
    <w:rsid w:val="003A2285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50A"/>
    <w:rsid w:val="003C2702"/>
    <w:rsid w:val="003C6266"/>
    <w:rsid w:val="003C73E4"/>
    <w:rsid w:val="003C7806"/>
    <w:rsid w:val="003D02B8"/>
    <w:rsid w:val="003D109F"/>
    <w:rsid w:val="003D2478"/>
    <w:rsid w:val="003D3C45"/>
    <w:rsid w:val="003D5B1F"/>
    <w:rsid w:val="003E15FA"/>
    <w:rsid w:val="003E55E4"/>
    <w:rsid w:val="003E74E3"/>
    <w:rsid w:val="003F0047"/>
    <w:rsid w:val="003F05C7"/>
    <w:rsid w:val="003F2CD4"/>
    <w:rsid w:val="003F6BBE"/>
    <w:rsid w:val="004000E8"/>
    <w:rsid w:val="00402E2B"/>
    <w:rsid w:val="004033B5"/>
    <w:rsid w:val="004050EA"/>
    <w:rsid w:val="0040512B"/>
    <w:rsid w:val="00405CA5"/>
    <w:rsid w:val="0040699A"/>
    <w:rsid w:val="00407C75"/>
    <w:rsid w:val="00407CD3"/>
    <w:rsid w:val="00410134"/>
    <w:rsid w:val="0041073B"/>
    <w:rsid w:val="00410B72"/>
    <w:rsid w:val="00410F18"/>
    <w:rsid w:val="0041263E"/>
    <w:rsid w:val="00412DA0"/>
    <w:rsid w:val="00413AAC"/>
    <w:rsid w:val="00413E92"/>
    <w:rsid w:val="00421105"/>
    <w:rsid w:val="004242F4"/>
    <w:rsid w:val="00427248"/>
    <w:rsid w:val="00431515"/>
    <w:rsid w:val="00437447"/>
    <w:rsid w:val="00441782"/>
    <w:rsid w:val="00441A92"/>
    <w:rsid w:val="00444F56"/>
    <w:rsid w:val="00446488"/>
    <w:rsid w:val="004517AA"/>
    <w:rsid w:val="00452CAC"/>
    <w:rsid w:val="00453A89"/>
    <w:rsid w:val="00457565"/>
    <w:rsid w:val="00457B71"/>
    <w:rsid w:val="00465ABC"/>
    <w:rsid w:val="004669E2"/>
    <w:rsid w:val="00470C31"/>
    <w:rsid w:val="00471478"/>
    <w:rsid w:val="004734D0"/>
    <w:rsid w:val="0047556B"/>
    <w:rsid w:val="00477768"/>
    <w:rsid w:val="004807A5"/>
    <w:rsid w:val="004819DE"/>
    <w:rsid w:val="00481C38"/>
    <w:rsid w:val="00481DEC"/>
    <w:rsid w:val="00484581"/>
    <w:rsid w:val="00492BC5"/>
    <w:rsid w:val="00492C84"/>
    <w:rsid w:val="00496333"/>
    <w:rsid w:val="004964F1"/>
    <w:rsid w:val="00496626"/>
    <w:rsid w:val="004A16BC"/>
    <w:rsid w:val="004A1B2F"/>
    <w:rsid w:val="004A2B94"/>
    <w:rsid w:val="004B3941"/>
    <w:rsid w:val="004B3AD4"/>
    <w:rsid w:val="004B4C68"/>
    <w:rsid w:val="004B5CCF"/>
    <w:rsid w:val="004B7C0C"/>
    <w:rsid w:val="004C1039"/>
    <w:rsid w:val="004C3898"/>
    <w:rsid w:val="004D36B1"/>
    <w:rsid w:val="004D50C9"/>
    <w:rsid w:val="004D7EBD"/>
    <w:rsid w:val="004E2680"/>
    <w:rsid w:val="004E28F9"/>
    <w:rsid w:val="004E458B"/>
    <w:rsid w:val="004E462E"/>
    <w:rsid w:val="004E56DC"/>
    <w:rsid w:val="004E76F4"/>
    <w:rsid w:val="004F0B4E"/>
    <w:rsid w:val="004F0B6C"/>
    <w:rsid w:val="004F1210"/>
    <w:rsid w:val="004F2078"/>
    <w:rsid w:val="004F4CDF"/>
    <w:rsid w:val="004F4DA3"/>
    <w:rsid w:val="004F6D2D"/>
    <w:rsid w:val="004F70F3"/>
    <w:rsid w:val="005041FC"/>
    <w:rsid w:val="00506557"/>
    <w:rsid w:val="0050677A"/>
    <w:rsid w:val="005108D8"/>
    <w:rsid w:val="005116F9"/>
    <w:rsid w:val="005153A7"/>
    <w:rsid w:val="0052191F"/>
    <w:rsid w:val="005219CF"/>
    <w:rsid w:val="005330BC"/>
    <w:rsid w:val="00534B59"/>
    <w:rsid w:val="00536451"/>
    <w:rsid w:val="00536759"/>
    <w:rsid w:val="00536B32"/>
    <w:rsid w:val="00537C62"/>
    <w:rsid w:val="00546970"/>
    <w:rsid w:val="0055201D"/>
    <w:rsid w:val="00554192"/>
    <w:rsid w:val="00554E19"/>
    <w:rsid w:val="0056121F"/>
    <w:rsid w:val="00572505"/>
    <w:rsid w:val="005741AA"/>
    <w:rsid w:val="00575DA6"/>
    <w:rsid w:val="00576931"/>
    <w:rsid w:val="00582809"/>
    <w:rsid w:val="00583D71"/>
    <w:rsid w:val="005841D1"/>
    <w:rsid w:val="00584D12"/>
    <w:rsid w:val="00587647"/>
    <w:rsid w:val="0058798C"/>
    <w:rsid w:val="005900FA"/>
    <w:rsid w:val="005935A4"/>
    <w:rsid w:val="005948C2"/>
    <w:rsid w:val="005958C6"/>
    <w:rsid w:val="00595A4D"/>
    <w:rsid w:val="00595DCA"/>
    <w:rsid w:val="00596640"/>
    <w:rsid w:val="0059779B"/>
    <w:rsid w:val="005A209A"/>
    <w:rsid w:val="005A662D"/>
    <w:rsid w:val="005B35D7"/>
    <w:rsid w:val="005B392A"/>
    <w:rsid w:val="005B3AA3"/>
    <w:rsid w:val="005B3F89"/>
    <w:rsid w:val="005B6F83"/>
    <w:rsid w:val="005C4BF6"/>
    <w:rsid w:val="005C5E82"/>
    <w:rsid w:val="005C6D58"/>
    <w:rsid w:val="005C6DD7"/>
    <w:rsid w:val="005C74FB"/>
    <w:rsid w:val="005D1602"/>
    <w:rsid w:val="005E385F"/>
    <w:rsid w:val="005E3F58"/>
    <w:rsid w:val="005E5B81"/>
    <w:rsid w:val="005E69E9"/>
    <w:rsid w:val="005F2CB1"/>
    <w:rsid w:val="005F3025"/>
    <w:rsid w:val="005F317C"/>
    <w:rsid w:val="005F618C"/>
    <w:rsid w:val="005F70BD"/>
    <w:rsid w:val="0060283C"/>
    <w:rsid w:val="00604F14"/>
    <w:rsid w:val="00611688"/>
    <w:rsid w:val="00611B83"/>
    <w:rsid w:val="00613257"/>
    <w:rsid w:val="00620A71"/>
    <w:rsid w:val="00620D80"/>
    <w:rsid w:val="006234A6"/>
    <w:rsid w:val="00630001"/>
    <w:rsid w:val="006311B3"/>
    <w:rsid w:val="00631929"/>
    <w:rsid w:val="0063284C"/>
    <w:rsid w:val="00632A74"/>
    <w:rsid w:val="00636398"/>
    <w:rsid w:val="006368D3"/>
    <w:rsid w:val="006377EC"/>
    <w:rsid w:val="0064151F"/>
    <w:rsid w:val="00641533"/>
    <w:rsid w:val="0064208D"/>
    <w:rsid w:val="00643475"/>
    <w:rsid w:val="0064396A"/>
    <w:rsid w:val="00644FC6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488B"/>
    <w:rsid w:val="006655EE"/>
    <w:rsid w:val="00665A82"/>
    <w:rsid w:val="006672D0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7AA"/>
    <w:rsid w:val="00683ECE"/>
    <w:rsid w:val="006867CD"/>
    <w:rsid w:val="00687C6E"/>
    <w:rsid w:val="00687CFA"/>
    <w:rsid w:val="00695FC2"/>
    <w:rsid w:val="00696949"/>
    <w:rsid w:val="00697052"/>
    <w:rsid w:val="006A46FB"/>
    <w:rsid w:val="006A5204"/>
    <w:rsid w:val="006A5E28"/>
    <w:rsid w:val="006A6585"/>
    <w:rsid w:val="006A697B"/>
    <w:rsid w:val="006A7AFF"/>
    <w:rsid w:val="006B1816"/>
    <w:rsid w:val="006B2099"/>
    <w:rsid w:val="006B2E2B"/>
    <w:rsid w:val="006B387E"/>
    <w:rsid w:val="006B50CF"/>
    <w:rsid w:val="006C03B8"/>
    <w:rsid w:val="006C1E5C"/>
    <w:rsid w:val="006C32C5"/>
    <w:rsid w:val="006C5EC9"/>
    <w:rsid w:val="006C6059"/>
    <w:rsid w:val="006C7522"/>
    <w:rsid w:val="006D6F08"/>
    <w:rsid w:val="006E062C"/>
    <w:rsid w:val="006E1514"/>
    <w:rsid w:val="006E2288"/>
    <w:rsid w:val="006E28B7"/>
    <w:rsid w:val="006E297D"/>
    <w:rsid w:val="006E3310"/>
    <w:rsid w:val="006E4E39"/>
    <w:rsid w:val="006E565E"/>
    <w:rsid w:val="006E673D"/>
    <w:rsid w:val="006E6F50"/>
    <w:rsid w:val="006E7D3B"/>
    <w:rsid w:val="006F0910"/>
    <w:rsid w:val="006F1B70"/>
    <w:rsid w:val="006F341D"/>
    <w:rsid w:val="006F3CDE"/>
    <w:rsid w:val="006F58D4"/>
    <w:rsid w:val="006F7A4C"/>
    <w:rsid w:val="0070346E"/>
    <w:rsid w:val="00704C41"/>
    <w:rsid w:val="00704E3A"/>
    <w:rsid w:val="00704EDB"/>
    <w:rsid w:val="00706101"/>
    <w:rsid w:val="0070615A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068F"/>
    <w:rsid w:val="007348B1"/>
    <w:rsid w:val="007362A6"/>
    <w:rsid w:val="00736D7D"/>
    <w:rsid w:val="00737FB0"/>
    <w:rsid w:val="00740E58"/>
    <w:rsid w:val="007445A0"/>
    <w:rsid w:val="0074524B"/>
    <w:rsid w:val="00747D8B"/>
    <w:rsid w:val="007508B5"/>
    <w:rsid w:val="00751228"/>
    <w:rsid w:val="0075371F"/>
    <w:rsid w:val="00756531"/>
    <w:rsid w:val="007571E1"/>
    <w:rsid w:val="00757D18"/>
    <w:rsid w:val="007604B2"/>
    <w:rsid w:val="00763F49"/>
    <w:rsid w:val="00765281"/>
    <w:rsid w:val="00766BAD"/>
    <w:rsid w:val="007679B0"/>
    <w:rsid w:val="007755F2"/>
    <w:rsid w:val="00776971"/>
    <w:rsid w:val="00777D37"/>
    <w:rsid w:val="0078177E"/>
    <w:rsid w:val="0078304C"/>
    <w:rsid w:val="00783673"/>
    <w:rsid w:val="00785490"/>
    <w:rsid w:val="0078675F"/>
    <w:rsid w:val="00790AF0"/>
    <w:rsid w:val="00790B99"/>
    <w:rsid w:val="007925EA"/>
    <w:rsid w:val="007937CB"/>
    <w:rsid w:val="00793CD8"/>
    <w:rsid w:val="00795C92"/>
    <w:rsid w:val="00796231"/>
    <w:rsid w:val="007A1340"/>
    <w:rsid w:val="007A1CB3"/>
    <w:rsid w:val="007A306F"/>
    <w:rsid w:val="007A43A6"/>
    <w:rsid w:val="007A58A6"/>
    <w:rsid w:val="007A5B38"/>
    <w:rsid w:val="007A6AE8"/>
    <w:rsid w:val="007B3D2D"/>
    <w:rsid w:val="007B4E70"/>
    <w:rsid w:val="007B50AE"/>
    <w:rsid w:val="007B51DF"/>
    <w:rsid w:val="007B530A"/>
    <w:rsid w:val="007B68B8"/>
    <w:rsid w:val="007B7374"/>
    <w:rsid w:val="007C05DD"/>
    <w:rsid w:val="007C3D18"/>
    <w:rsid w:val="007C60BF"/>
    <w:rsid w:val="007C6A07"/>
    <w:rsid w:val="007C71DF"/>
    <w:rsid w:val="007C75A1"/>
    <w:rsid w:val="007C77A5"/>
    <w:rsid w:val="007D04E5"/>
    <w:rsid w:val="007D0736"/>
    <w:rsid w:val="007D5901"/>
    <w:rsid w:val="007D7526"/>
    <w:rsid w:val="007E20F3"/>
    <w:rsid w:val="007E4610"/>
    <w:rsid w:val="007E4715"/>
    <w:rsid w:val="007E505B"/>
    <w:rsid w:val="007E7091"/>
    <w:rsid w:val="007F4BBB"/>
    <w:rsid w:val="007F75D5"/>
    <w:rsid w:val="00800DAA"/>
    <w:rsid w:val="00803FAE"/>
    <w:rsid w:val="0080605F"/>
    <w:rsid w:val="00806EE7"/>
    <w:rsid w:val="00807786"/>
    <w:rsid w:val="00811F5C"/>
    <w:rsid w:val="00811FCB"/>
    <w:rsid w:val="00813DB6"/>
    <w:rsid w:val="008158D6"/>
    <w:rsid w:val="00817196"/>
    <w:rsid w:val="00822755"/>
    <w:rsid w:val="008235DB"/>
    <w:rsid w:val="0082367A"/>
    <w:rsid w:val="00824AB4"/>
    <w:rsid w:val="008253FA"/>
    <w:rsid w:val="00825C42"/>
    <w:rsid w:val="00825D25"/>
    <w:rsid w:val="00826CCE"/>
    <w:rsid w:val="0082784D"/>
    <w:rsid w:val="00827D6F"/>
    <w:rsid w:val="008320E1"/>
    <w:rsid w:val="00836B1B"/>
    <w:rsid w:val="008376AC"/>
    <w:rsid w:val="008444E8"/>
    <w:rsid w:val="00844E80"/>
    <w:rsid w:val="00846FE7"/>
    <w:rsid w:val="00856911"/>
    <w:rsid w:val="00860CA0"/>
    <w:rsid w:val="00865D8A"/>
    <w:rsid w:val="00866834"/>
    <w:rsid w:val="008677FD"/>
    <w:rsid w:val="008706D4"/>
    <w:rsid w:val="00870F8A"/>
    <w:rsid w:val="00871873"/>
    <w:rsid w:val="008719A4"/>
    <w:rsid w:val="00871D23"/>
    <w:rsid w:val="00872B45"/>
    <w:rsid w:val="00874312"/>
    <w:rsid w:val="00874367"/>
    <w:rsid w:val="0087437C"/>
    <w:rsid w:val="0087533D"/>
    <w:rsid w:val="00875811"/>
    <w:rsid w:val="00875CD7"/>
    <w:rsid w:val="00876B4D"/>
    <w:rsid w:val="00877F18"/>
    <w:rsid w:val="00882CFE"/>
    <w:rsid w:val="00887C28"/>
    <w:rsid w:val="00894A88"/>
    <w:rsid w:val="00895386"/>
    <w:rsid w:val="00895780"/>
    <w:rsid w:val="008964FB"/>
    <w:rsid w:val="008A1390"/>
    <w:rsid w:val="008A1F09"/>
    <w:rsid w:val="008A21FF"/>
    <w:rsid w:val="008A2CE2"/>
    <w:rsid w:val="008A30AC"/>
    <w:rsid w:val="008A44B8"/>
    <w:rsid w:val="008A51A8"/>
    <w:rsid w:val="008A54C7"/>
    <w:rsid w:val="008A632A"/>
    <w:rsid w:val="008A77D8"/>
    <w:rsid w:val="008B0483"/>
    <w:rsid w:val="008B120C"/>
    <w:rsid w:val="008B51A0"/>
    <w:rsid w:val="008B592A"/>
    <w:rsid w:val="008B7B5C"/>
    <w:rsid w:val="008C0C99"/>
    <w:rsid w:val="008C2017"/>
    <w:rsid w:val="008C290F"/>
    <w:rsid w:val="008C4958"/>
    <w:rsid w:val="008C4BAA"/>
    <w:rsid w:val="008C6AE8"/>
    <w:rsid w:val="008C7573"/>
    <w:rsid w:val="008C782F"/>
    <w:rsid w:val="008D24FB"/>
    <w:rsid w:val="008D2D38"/>
    <w:rsid w:val="008D2E64"/>
    <w:rsid w:val="008D34F1"/>
    <w:rsid w:val="008D39D8"/>
    <w:rsid w:val="008D427D"/>
    <w:rsid w:val="008D6D1A"/>
    <w:rsid w:val="008E065E"/>
    <w:rsid w:val="008E0927"/>
    <w:rsid w:val="008E1909"/>
    <w:rsid w:val="008E4412"/>
    <w:rsid w:val="008F1EAB"/>
    <w:rsid w:val="008F2D28"/>
    <w:rsid w:val="008F33DC"/>
    <w:rsid w:val="008F3D06"/>
    <w:rsid w:val="008F477F"/>
    <w:rsid w:val="008F4B5D"/>
    <w:rsid w:val="008F682D"/>
    <w:rsid w:val="008F7B19"/>
    <w:rsid w:val="00901B98"/>
    <w:rsid w:val="00902350"/>
    <w:rsid w:val="0090336B"/>
    <w:rsid w:val="009053AA"/>
    <w:rsid w:val="00906939"/>
    <w:rsid w:val="00907179"/>
    <w:rsid w:val="00910B7D"/>
    <w:rsid w:val="00911DFB"/>
    <w:rsid w:val="0091277A"/>
    <w:rsid w:val="009129FB"/>
    <w:rsid w:val="009139D9"/>
    <w:rsid w:val="00914AD8"/>
    <w:rsid w:val="00916079"/>
    <w:rsid w:val="00916967"/>
    <w:rsid w:val="00917CE9"/>
    <w:rsid w:val="00917F70"/>
    <w:rsid w:val="00920BF2"/>
    <w:rsid w:val="00922010"/>
    <w:rsid w:val="009265A0"/>
    <w:rsid w:val="00927D35"/>
    <w:rsid w:val="009308A1"/>
    <w:rsid w:val="00931BD9"/>
    <w:rsid w:val="00935739"/>
    <w:rsid w:val="009368F3"/>
    <w:rsid w:val="009411A4"/>
    <w:rsid w:val="00941636"/>
    <w:rsid w:val="00943742"/>
    <w:rsid w:val="00945C05"/>
    <w:rsid w:val="00945DBB"/>
    <w:rsid w:val="00946945"/>
    <w:rsid w:val="00947713"/>
    <w:rsid w:val="009507AD"/>
    <w:rsid w:val="00950DE7"/>
    <w:rsid w:val="00952A24"/>
    <w:rsid w:val="00953920"/>
    <w:rsid w:val="00953D47"/>
    <w:rsid w:val="009549C6"/>
    <w:rsid w:val="0095681E"/>
    <w:rsid w:val="009572D4"/>
    <w:rsid w:val="0096103B"/>
    <w:rsid w:val="00961921"/>
    <w:rsid w:val="0096430A"/>
    <w:rsid w:val="0096554B"/>
    <w:rsid w:val="0096584A"/>
    <w:rsid w:val="00971F08"/>
    <w:rsid w:val="00972439"/>
    <w:rsid w:val="0097493A"/>
    <w:rsid w:val="0097514B"/>
    <w:rsid w:val="0097603D"/>
    <w:rsid w:val="00976949"/>
    <w:rsid w:val="00980477"/>
    <w:rsid w:val="00985253"/>
    <w:rsid w:val="009853B3"/>
    <w:rsid w:val="00985BFD"/>
    <w:rsid w:val="00990630"/>
    <w:rsid w:val="00991761"/>
    <w:rsid w:val="00991986"/>
    <w:rsid w:val="009935DF"/>
    <w:rsid w:val="00994DCA"/>
    <w:rsid w:val="009960EC"/>
    <w:rsid w:val="009970DD"/>
    <w:rsid w:val="00997CB2"/>
    <w:rsid w:val="009A0FBA"/>
    <w:rsid w:val="009A106F"/>
    <w:rsid w:val="009A1601"/>
    <w:rsid w:val="009A18A7"/>
    <w:rsid w:val="009A462D"/>
    <w:rsid w:val="009A5902"/>
    <w:rsid w:val="009A5CBA"/>
    <w:rsid w:val="009A5E77"/>
    <w:rsid w:val="009B1F30"/>
    <w:rsid w:val="009B3AC2"/>
    <w:rsid w:val="009B40CF"/>
    <w:rsid w:val="009B4DF4"/>
    <w:rsid w:val="009B564E"/>
    <w:rsid w:val="009B7E87"/>
    <w:rsid w:val="009C403E"/>
    <w:rsid w:val="009C6832"/>
    <w:rsid w:val="009D4C37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C1E"/>
    <w:rsid w:val="009F5141"/>
    <w:rsid w:val="00A02FE6"/>
    <w:rsid w:val="00A031D8"/>
    <w:rsid w:val="00A048A8"/>
    <w:rsid w:val="00A04F49"/>
    <w:rsid w:val="00A0665D"/>
    <w:rsid w:val="00A13E54"/>
    <w:rsid w:val="00A1433F"/>
    <w:rsid w:val="00A15745"/>
    <w:rsid w:val="00A17F63"/>
    <w:rsid w:val="00A2193B"/>
    <w:rsid w:val="00A2351A"/>
    <w:rsid w:val="00A264A9"/>
    <w:rsid w:val="00A27785"/>
    <w:rsid w:val="00A30187"/>
    <w:rsid w:val="00A31757"/>
    <w:rsid w:val="00A32A1F"/>
    <w:rsid w:val="00A3315A"/>
    <w:rsid w:val="00A3448A"/>
    <w:rsid w:val="00A36297"/>
    <w:rsid w:val="00A41E2B"/>
    <w:rsid w:val="00A45B74"/>
    <w:rsid w:val="00A47CD2"/>
    <w:rsid w:val="00A52E1D"/>
    <w:rsid w:val="00A53229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2E07"/>
    <w:rsid w:val="00A85C6C"/>
    <w:rsid w:val="00A85EF6"/>
    <w:rsid w:val="00A92879"/>
    <w:rsid w:val="00A93641"/>
    <w:rsid w:val="00A9442A"/>
    <w:rsid w:val="00A97383"/>
    <w:rsid w:val="00AA016F"/>
    <w:rsid w:val="00AA1ED6"/>
    <w:rsid w:val="00AA3529"/>
    <w:rsid w:val="00AA39A2"/>
    <w:rsid w:val="00AA51D6"/>
    <w:rsid w:val="00AA594A"/>
    <w:rsid w:val="00AB0BC8"/>
    <w:rsid w:val="00AB11CA"/>
    <w:rsid w:val="00AB14D9"/>
    <w:rsid w:val="00AB3C7A"/>
    <w:rsid w:val="00AB4AB8"/>
    <w:rsid w:val="00AB655E"/>
    <w:rsid w:val="00AB6BB8"/>
    <w:rsid w:val="00AC007F"/>
    <w:rsid w:val="00AC184E"/>
    <w:rsid w:val="00AC2ECD"/>
    <w:rsid w:val="00AC3119"/>
    <w:rsid w:val="00AC33D9"/>
    <w:rsid w:val="00AC49FB"/>
    <w:rsid w:val="00AC5A10"/>
    <w:rsid w:val="00AC7789"/>
    <w:rsid w:val="00AD03AF"/>
    <w:rsid w:val="00AD0AA3"/>
    <w:rsid w:val="00AD2D75"/>
    <w:rsid w:val="00AD3F94"/>
    <w:rsid w:val="00AD44A2"/>
    <w:rsid w:val="00AD4A5A"/>
    <w:rsid w:val="00AE27AC"/>
    <w:rsid w:val="00AE2FEB"/>
    <w:rsid w:val="00AE40E0"/>
    <w:rsid w:val="00AE4DBA"/>
    <w:rsid w:val="00AE4F07"/>
    <w:rsid w:val="00AF0198"/>
    <w:rsid w:val="00AF1C5D"/>
    <w:rsid w:val="00AF40C1"/>
    <w:rsid w:val="00AF42D7"/>
    <w:rsid w:val="00AF5245"/>
    <w:rsid w:val="00B006FE"/>
    <w:rsid w:val="00B007CB"/>
    <w:rsid w:val="00B01DFE"/>
    <w:rsid w:val="00B02AA9"/>
    <w:rsid w:val="00B02FA3"/>
    <w:rsid w:val="00B031B4"/>
    <w:rsid w:val="00B03374"/>
    <w:rsid w:val="00B05084"/>
    <w:rsid w:val="00B0681E"/>
    <w:rsid w:val="00B078D8"/>
    <w:rsid w:val="00B1415F"/>
    <w:rsid w:val="00B149E9"/>
    <w:rsid w:val="00B157F9"/>
    <w:rsid w:val="00B20256"/>
    <w:rsid w:val="00B20D09"/>
    <w:rsid w:val="00B2763F"/>
    <w:rsid w:val="00B27AAC"/>
    <w:rsid w:val="00B27D43"/>
    <w:rsid w:val="00B30929"/>
    <w:rsid w:val="00B3323D"/>
    <w:rsid w:val="00B351A1"/>
    <w:rsid w:val="00B372AA"/>
    <w:rsid w:val="00B40445"/>
    <w:rsid w:val="00B41888"/>
    <w:rsid w:val="00B4259B"/>
    <w:rsid w:val="00B45A52"/>
    <w:rsid w:val="00B46175"/>
    <w:rsid w:val="00B46B5B"/>
    <w:rsid w:val="00B50E3F"/>
    <w:rsid w:val="00B512D3"/>
    <w:rsid w:val="00B522F9"/>
    <w:rsid w:val="00B530DF"/>
    <w:rsid w:val="00B54847"/>
    <w:rsid w:val="00B56CD0"/>
    <w:rsid w:val="00B664C7"/>
    <w:rsid w:val="00B739F6"/>
    <w:rsid w:val="00B74199"/>
    <w:rsid w:val="00B75A51"/>
    <w:rsid w:val="00B76BB0"/>
    <w:rsid w:val="00B77751"/>
    <w:rsid w:val="00B81A6C"/>
    <w:rsid w:val="00B83820"/>
    <w:rsid w:val="00B85DE5"/>
    <w:rsid w:val="00B90F73"/>
    <w:rsid w:val="00B93B59"/>
    <w:rsid w:val="00B9406A"/>
    <w:rsid w:val="00BA0DEE"/>
    <w:rsid w:val="00BA2280"/>
    <w:rsid w:val="00BA2A08"/>
    <w:rsid w:val="00BA411A"/>
    <w:rsid w:val="00BA56D2"/>
    <w:rsid w:val="00BA76E0"/>
    <w:rsid w:val="00BB2A25"/>
    <w:rsid w:val="00BB51E9"/>
    <w:rsid w:val="00BC0FDC"/>
    <w:rsid w:val="00BC3053"/>
    <w:rsid w:val="00BC4D2E"/>
    <w:rsid w:val="00BD1268"/>
    <w:rsid w:val="00BD331E"/>
    <w:rsid w:val="00BD48AC"/>
    <w:rsid w:val="00BD5F1A"/>
    <w:rsid w:val="00BE1234"/>
    <w:rsid w:val="00BE2FA6"/>
    <w:rsid w:val="00BE333F"/>
    <w:rsid w:val="00BE464F"/>
    <w:rsid w:val="00BE7406"/>
    <w:rsid w:val="00BE7603"/>
    <w:rsid w:val="00BF3279"/>
    <w:rsid w:val="00BF6A0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7377"/>
    <w:rsid w:val="00C10478"/>
    <w:rsid w:val="00C12107"/>
    <w:rsid w:val="00C13A9F"/>
    <w:rsid w:val="00C14D4B"/>
    <w:rsid w:val="00C154BB"/>
    <w:rsid w:val="00C215B5"/>
    <w:rsid w:val="00C2283B"/>
    <w:rsid w:val="00C279B5"/>
    <w:rsid w:val="00C27C45"/>
    <w:rsid w:val="00C3126C"/>
    <w:rsid w:val="00C31313"/>
    <w:rsid w:val="00C33FE8"/>
    <w:rsid w:val="00C355D1"/>
    <w:rsid w:val="00C3719D"/>
    <w:rsid w:val="00C45C60"/>
    <w:rsid w:val="00C46BFB"/>
    <w:rsid w:val="00C54995"/>
    <w:rsid w:val="00C54D41"/>
    <w:rsid w:val="00C60783"/>
    <w:rsid w:val="00C64672"/>
    <w:rsid w:val="00C66A7D"/>
    <w:rsid w:val="00C70697"/>
    <w:rsid w:val="00C72EF4"/>
    <w:rsid w:val="00C75D2F"/>
    <w:rsid w:val="00C767BE"/>
    <w:rsid w:val="00C76E3C"/>
    <w:rsid w:val="00C77122"/>
    <w:rsid w:val="00C81568"/>
    <w:rsid w:val="00C87563"/>
    <w:rsid w:val="00C9027A"/>
    <w:rsid w:val="00C9068E"/>
    <w:rsid w:val="00C93C4B"/>
    <w:rsid w:val="00C944AB"/>
    <w:rsid w:val="00C95922"/>
    <w:rsid w:val="00C95B40"/>
    <w:rsid w:val="00C97B24"/>
    <w:rsid w:val="00CA1068"/>
    <w:rsid w:val="00CA1ED8"/>
    <w:rsid w:val="00CA2417"/>
    <w:rsid w:val="00CA36BA"/>
    <w:rsid w:val="00CA49AD"/>
    <w:rsid w:val="00CA6BE4"/>
    <w:rsid w:val="00CA71F4"/>
    <w:rsid w:val="00CB0513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ED1"/>
    <w:rsid w:val="00CD337B"/>
    <w:rsid w:val="00CE0424"/>
    <w:rsid w:val="00CE4908"/>
    <w:rsid w:val="00CE7561"/>
    <w:rsid w:val="00CF1354"/>
    <w:rsid w:val="00CF1A34"/>
    <w:rsid w:val="00CF3B1F"/>
    <w:rsid w:val="00CF3BF6"/>
    <w:rsid w:val="00CF3C0E"/>
    <w:rsid w:val="00CF625B"/>
    <w:rsid w:val="00CF687E"/>
    <w:rsid w:val="00D0349B"/>
    <w:rsid w:val="00D05E96"/>
    <w:rsid w:val="00D10249"/>
    <w:rsid w:val="00D115C3"/>
    <w:rsid w:val="00D11897"/>
    <w:rsid w:val="00D13135"/>
    <w:rsid w:val="00D13E4E"/>
    <w:rsid w:val="00D13F9C"/>
    <w:rsid w:val="00D15242"/>
    <w:rsid w:val="00D169CC"/>
    <w:rsid w:val="00D239A7"/>
    <w:rsid w:val="00D23F47"/>
    <w:rsid w:val="00D254C0"/>
    <w:rsid w:val="00D25DCC"/>
    <w:rsid w:val="00D27D8B"/>
    <w:rsid w:val="00D30360"/>
    <w:rsid w:val="00D317DE"/>
    <w:rsid w:val="00D321C0"/>
    <w:rsid w:val="00D3595F"/>
    <w:rsid w:val="00D36E71"/>
    <w:rsid w:val="00D37D87"/>
    <w:rsid w:val="00D40B33"/>
    <w:rsid w:val="00D4318F"/>
    <w:rsid w:val="00D438BF"/>
    <w:rsid w:val="00D43D43"/>
    <w:rsid w:val="00D440F8"/>
    <w:rsid w:val="00D546FF"/>
    <w:rsid w:val="00D55AD5"/>
    <w:rsid w:val="00D57263"/>
    <w:rsid w:val="00D576CA"/>
    <w:rsid w:val="00D608B0"/>
    <w:rsid w:val="00D61AF5"/>
    <w:rsid w:val="00D6346A"/>
    <w:rsid w:val="00D652B5"/>
    <w:rsid w:val="00D66155"/>
    <w:rsid w:val="00D66E5B"/>
    <w:rsid w:val="00D67D3A"/>
    <w:rsid w:val="00D7060B"/>
    <w:rsid w:val="00D708B0"/>
    <w:rsid w:val="00D74816"/>
    <w:rsid w:val="00D77B1D"/>
    <w:rsid w:val="00D8021F"/>
    <w:rsid w:val="00D80383"/>
    <w:rsid w:val="00D803A4"/>
    <w:rsid w:val="00D80994"/>
    <w:rsid w:val="00D823C6"/>
    <w:rsid w:val="00D851B7"/>
    <w:rsid w:val="00D86CA3"/>
    <w:rsid w:val="00D871CE"/>
    <w:rsid w:val="00D9196D"/>
    <w:rsid w:val="00D92982"/>
    <w:rsid w:val="00D95F93"/>
    <w:rsid w:val="00D96FB5"/>
    <w:rsid w:val="00DA0BF6"/>
    <w:rsid w:val="00DA2EF2"/>
    <w:rsid w:val="00DA305E"/>
    <w:rsid w:val="00DA5417"/>
    <w:rsid w:val="00DA56E8"/>
    <w:rsid w:val="00DB0A9F"/>
    <w:rsid w:val="00DB377D"/>
    <w:rsid w:val="00DB62B0"/>
    <w:rsid w:val="00DC05F9"/>
    <w:rsid w:val="00DC1519"/>
    <w:rsid w:val="00DC23A7"/>
    <w:rsid w:val="00DC2639"/>
    <w:rsid w:val="00DC2D36"/>
    <w:rsid w:val="00DC53EF"/>
    <w:rsid w:val="00DE09E4"/>
    <w:rsid w:val="00DE3A64"/>
    <w:rsid w:val="00DE4BDC"/>
    <w:rsid w:val="00DE5608"/>
    <w:rsid w:val="00DE58D0"/>
    <w:rsid w:val="00DE6512"/>
    <w:rsid w:val="00DE654F"/>
    <w:rsid w:val="00DF0B6E"/>
    <w:rsid w:val="00DF15E0"/>
    <w:rsid w:val="00DF37A0"/>
    <w:rsid w:val="00E00155"/>
    <w:rsid w:val="00E03080"/>
    <w:rsid w:val="00E05DB7"/>
    <w:rsid w:val="00E110E7"/>
    <w:rsid w:val="00E11B20"/>
    <w:rsid w:val="00E14FE7"/>
    <w:rsid w:val="00E1538C"/>
    <w:rsid w:val="00E173BE"/>
    <w:rsid w:val="00E17FA2"/>
    <w:rsid w:val="00E22330"/>
    <w:rsid w:val="00E2467B"/>
    <w:rsid w:val="00E26F10"/>
    <w:rsid w:val="00E30703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342A"/>
    <w:rsid w:val="00E446F1"/>
    <w:rsid w:val="00E46886"/>
    <w:rsid w:val="00E47AEF"/>
    <w:rsid w:val="00E53B75"/>
    <w:rsid w:val="00E54E3B"/>
    <w:rsid w:val="00E5689D"/>
    <w:rsid w:val="00E57565"/>
    <w:rsid w:val="00E63838"/>
    <w:rsid w:val="00E64434"/>
    <w:rsid w:val="00E64B80"/>
    <w:rsid w:val="00E652C3"/>
    <w:rsid w:val="00E66E4F"/>
    <w:rsid w:val="00E67C51"/>
    <w:rsid w:val="00E72EFC"/>
    <w:rsid w:val="00E758EC"/>
    <w:rsid w:val="00E80308"/>
    <w:rsid w:val="00E81E33"/>
    <w:rsid w:val="00E8234C"/>
    <w:rsid w:val="00E83AA9"/>
    <w:rsid w:val="00E843B6"/>
    <w:rsid w:val="00E85928"/>
    <w:rsid w:val="00E87822"/>
    <w:rsid w:val="00E90395"/>
    <w:rsid w:val="00E90E49"/>
    <w:rsid w:val="00E917F9"/>
    <w:rsid w:val="00E9291C"/>
    <w:rsid w:val="00E93FFE"/>
    <w:rsid w:val="00E94F8A"/>
    <w:rsid w:val="00EA0C0D"/>
    <w:rsid w:val="00EA3A3A"/>
    <w:rsid w:val="00EA4B16"/>
    <w:rsid w:val="00EA7934"/>
    <w:rsid w:val="00EA7A41"/>
    <w:rsid w:val="00EB077B"/>
    <w:rsid w:val="00EB25AF"/>
    <w:rsid w:val="00EB4107"/>
    <w:rsid w:val="00EB4550"/>
    <w:rsid w:val="00EB4EA2"/>
    <w:rsid w:val="00EC1E88"/>
    <w:rsid w:val="00EC27C6"/>
    <w:rsid w:val="00EC2F41"/>
    <w:rsid w:val="00EC4207"/>
    <w:rsid w:val="00EC5653"/>
    <w:rsid w:val="00EC71CE"/>
    <w:rsid w:val="00EC77A7"/>
    <w:rsid w:val="00ED0C27"/>
    <w:rsid w:val="00ED1006"/>
    <w:rsid w:val="00ED62D7"/>
    <w:rsid w:val="00EE299C"/>
    <w:rsid w:val="00EE59C8"/>
    <w:rsid w:val="00EE5B55"/>
    <w:rsid w:val="00EE76AB"/>
    <w:rsid w:val="00EF18FE"/>
    <w:rsid w:val="00EF5787"/>
    <w:rsid w:val="00EF60D0"/>
    <w:rsid w:val="00EF6BB4"/>
    <w:rsid w:val="00EF6F4B"/>
    <w:rsid w:val="00EF7057"/>
    <w:rsid w:val="00F0525C"/>
    <w:rsid w:val="00F0528D"/>
    <w:rsid w:val="00F06C67"/>
    <w:rsid w:val="00F06DFD"/>
    <w:rsid w:val="00F071D1"/>
    <w:rsid w:val="00F07533"/>
    <w:rsid w:val="00F10629"/>
    <w:rsid w:val="00F11949"/>
    <w:rsid w:val="00F15FA5"/>
    <w:rsid w:val="00F16AD1"/>
    <w:rsid w:val="00F209B7"/>
    <w:rsid w:val="00F2376F"/>
    <w:rsid w:val="00F243D8"/>
    <w:rsid w:val="00F265B9"/>
    <w:rsid w:val="00F272FF"/>
    <w:rsid w:val="00F30828"/>
    <w:rsid w:val="00F313D6"/>
    <w:rsid w:val="00F40F0C"/>
    <w:rsid w:val="00F4766C"/>
    <w:rsid w:val="00F5060E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694"/>
    <w:rsid w:val="00F76EFA"/>
    <w:rsid w:val="00F804BE"/>
    <w:rsid w:val="00F817CE"/>
    <w:rsid w:val="00F8456C"/>
    <w:rsid w:val="00F8565D"/>
    <w:rsid w:val="00F859D8"/>
    <w:rsid w:val="00F868F5"/>
    <w:rsid w:val="00F87C62"/>
    <w:rsid w:val="00F9056A"/>
    <w:rsid w:val="00F90F8D"/>
    <w:rsid w:val="00F92782"/>
    <w:rsid w:val="00F93AA9"/>
    <w:rsid w:val="00F96985"/>
    <w:rsid w:val="00F96D8E"/>
    <w:rsid w:val="00F97838"/>
    <w:rsid w:val="00FA0DAD"/>
    <w:rsid w:val="00FA2BB3"/>
    <w:rsid w:val="00FA79F2"/>
    <w:rsid w:val="00FB0A62"/>
    <w:rsid w:val="00FB30B3"/>
    <w:rsid w:val="00FB425C"/>
    <w:rsid w:val="00FB4417"/>
    <w:rsid w:val="00FB4C80"/>
    <w:rsid w:val="00FB6A6A"/>
    <w:rsid w:val="00FC0730"/>
    <w:rsid w:val="00FC5A8A"/>
    <w:rsid w:val="00FC7429"/>
    <w:rsid w:val="00FD07F6"/>
    <w:rsid w:val="00FD1EC8"/>
    <w:rsid w:val="00FD2F02"/>
    <w:rsid w:val="00FD47ED"/>
    <w:rsid w:val="00FD74DB"/>
    <w:rsid w:val="00FD7660"/>
    <w:rsid w:val="00FE0655"/>
    <w:rsid w:val="00FE1E23"/>
    <w:rsid w:val="00FE2365"/>
    <w:rsid w:val="00FE23F9"/>
    <w:rsid w:val="00FE37D7"/>
    <w:rsid w:val="00FE4C7B"/>
    <w:rsid w:val="00FE5C57"/>
    <w:rsid w:val="00FE7336"/>
    <w:rsid w:val="00FE787C"/>
    <w:rsid w:val="00FF02D3"/>
    <w:rsid w:val="00FF261B"/>
    <w:rsid w:val="00FF45A5"/>
    <w:rsid w:val="00FF5C91"/>
    <w:rsid w:val="03861580"/>
    <w:rsid w:val="0C8C74E1"/>
    <w:rsid w:val="1499168B"/>
    <w:rsid w:val="16743E0D"/>
    <w:rsid w:val="1FF27A18"/>
    <w:rsid w:val="2A006328"/>
    <w:rsid w:val="30922EAD"/>
    <w:rsid w:val="30EF6114"/>
    <w:rsid w:val="32B97C99"/>
    <w:rsid w:val="36F24EDE"/>
    <w:rsid w:val="3B5C61C3"/>
    <w:rsid w:val="3C1251BA"/>
    <w:rsid w:val="3C2D1956"/>
    <w:rsid w:val="41D2196C"/>
    <w:rsid w:val="42845FE3"/>
    <w:rsid w:val="45754ADF"/>
    <w:rsid w:val="48DC70DC"/>
    <w:rsid w:val="4BD3434C"/>
    <w:rsid w:val="4D6E680C"/>
    <w:rsid w:val="50CD5C33"/>
    <w:rsid w:val="51342600"/>
    <w:rsid w:val="5AFD448F"/>
    <w:rsid w:val="5FC1205E"/>
    <w:rsid w:val="62640FB2"/>
    <w:rsid w:val="65824BB1"/>
    <w:rsid w:val="6A9410E6"/>
    <w:rsid w:val="726216D1"/>
    <w:rsid w:val="73210360"/>
    <w:rsid w:val="74355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BDFAB80"/>
  <w15:docId w15:val="{F3DAD808-785D-48C8-B78B-8F9C063F4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 w:qFormat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 w:qFormat="1"/>
    <w:lsdException w:name="List 3" w:semiHidden="1" w:unhideWhenUsed="1"/>
    <w:lsdException w:name="List Bullet 2" w:semiHidden="1" w:unhideWhenUsed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2"/>
      <w:szCs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tabs>
        <w:tab w:val="clear" w:pos="3552"/>
        <w:tab w:val="left" w:pos="576"/>
      </w:tabs>
      <w:spacing w:before="180"/>
      <w:ind w:left="576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semiHidden/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tabs>
        <w:tab w:val="right" w:pos="1701"/>
      </w:tabs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Cs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eastAsia="Times New Roman" w:hAnsi="Times New Roman"/>
      <w:b/>
      <w:szCs w:val="22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paragraph" w:styleId="ListBullet">
    <w:name w:val="List Bullet"/>
    <w:basedOn w:val="BodyText"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jc w:val="center"/>
    </w:pPr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ListBullet5">
    <w:name w:val="List Bullet 5"/>
    <w:basedOn w:val="ListBullet4"/>
    <w:pPr>
      <w:numPr>
        <w:numId w:val="6"/>
      </w:numPr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 w:val="0"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rPr>
      <w:color w:val="FF0000"/>
      <w:u w:val="single"/>
    </w:rPr>
  </w:style>
  <w:style w:type="character" w:styleId="Hyperlink">
    <w:name w:val="Hyperlink"/>
    <w:uiPriority w:val="99"/>
    <w:rPr>
      <w:color w:val="0000FF"/>
      <w:u w:val="single"/>
      <w:lang w:val="en-GB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bCs/>
      <w:position w:val="6"/>
      <w:sz w:val="16"/>
      <w:szCs w:val="16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800"/>
        <w:tab w:val="right" w:pos="9360"/>
      </w:tabs>
      <w:spacing w:after="0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link w:val="ReferenceChar"/>
    <w:qFormat/>
    <w:pPr>
      <w:numPr>
        <w:numId w:val="7"/>
      </w:numPr>
    </w:pPr>
  </w:style>
  <w:style w:type="character" w:customStyle="1" w:styleId="Heading1Char">
    <w:name w:val="Heading 1 Char"/>
    <w:link w:val="Heading1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0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Normal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Normal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clear" w:pos="1304"/>
      </w:tabs>
      <w:ind w:left="1701" w:hanging="1701"/>
    </w:pPr>
  </w:style>
  <w:style w:type="paragraph" w:customStyle="1" w:styleId="ListParagraph1">
    <w:name w:val="List Paragraph1"/>
    <w:basedOn w:val="Normal"/>
    <w:link w:val="ListParagraphChar"/>
    <w:uiPriority w:val="99"/>
    <w:qFormat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リスト段落 Char,列出段落 Char"/>
    <w:link w:val="ListParagraph1"/>
    <w:uiPriority w:val="99"/>
    <w:qFormat/>
    <w:locked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pPr>
      <w:numPr>
        <w:numId w:val="10"/>
      </w:numPr>
      <w:tabs>
        <w:tab w:val="clear" w:pos="1304"/>
      </w:tabs>
      <w:ind w:left="360"/>
    </w:pPr>
  </w:style>
  <w:style w:type="character" w:customStyle="1" w:styleId="KeyProposalChar">
    <w:name w:val="Key Proposal Char"/>
    <w:basedOn w:val="BodyTextChar"/>
    <w:link w:val="KeyProposal"/>
    <w:rPr>
      <w:rFonts w:ascii="Times New Roman" w:hAnsi="Times New Roman"/>
      <w:b/>
      <w:bCs/>
      <w:lang w:val="en-GB" w:eastAsia="zh-CN"/>
    </w:rPr>
  </w:style>
  <w:style w:type="character" w:customStyle="1" w:styleId="ProposalChar">
    <w:name w:val="Proposal Char"/>
    <w:link w:val="Proposal"/>
    <w:rPr>
      <w:rFonts w:ascii="Times New Roman" w:hAnsi="Times New Roman"/>
      <w:b/>
      <w:bCs/>
      <w:lang w:val="en-GB" w:eastAsia="zh-CN"/>
    </w:rPr>
  </w:style>
  <w:style w:type="character" w:customStyle="1" w:styleId="TACChar">
    <w:name w:val="TAC Char"/>
    <w:link w:val="TAC"/>
    <w:qFormat/>
    <w:locked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qFormat/>
    <w:rPr>
      <w:rFonts w:ascii="Times New Roman" w:hAnsi="Times New Roman"/>
      <w:b/>
      <w:sz w:val="18"/>
      <w:lang w:val="en-GB"/>
    </w:rPr>
  </w:style>
  <w:style w:type="character" w:customStyle="1" w:styleId="ReferenceChar">
    <w:name w:val="Reference Char"/>
    <w:link w:val="Reference"/>
    <w:rPr>
      <w:rFonts w:ascii="Times New Roman" w:hAnsi="Times New Roman"/>
      <w:lang w:val="en-GB" w:eastAsia="zh-CN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Pr>
      <w:rFonts w:ascii="Arial" w:hAnsi="Arial"/>
      <w:spacing w:val="2"/>
      <w:lang w:val="en-GB" w:eastAsia="zh-CN"/>
    </w:rPr>
  </w:style>
  <w:style w:type="character" w:customStyle="1" w:styleId="B10">
    <w:name w:val="B1 (文字)"/>
    <w:link w:val="B1"/>
    <w:uiPriority w:val="99"/>
    <w:qFormat/>
    <w:locked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B1Zchn">
    <w:name w:val="B1 Zchn"/>
    <w:rPr>
      <w:lang w:eastAsia="en-US"/>
    </w:rPr>
  </w:style>
  <w:style w:type="paragraph" w:customStyle="1" w:styleId="Style1">
    <w:name w:val="Style1"/>
    <w:basedOn w:val="Normal"/>
    <w:link w:val="Style1Char"/>
    <w:qFormat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eastAsia="Malgun Gothic" w:cs="Batang"/>
      <w:lang w:eastAsia="en-US"/>
    </w:rPr>
  </w:style>
  <w:style w:type="character" w:customStyle="1" w:styleId="Style1Char">
    <w:name w:val="Style1 Char"/>
    <w:basedOn w:val="DefaultParagraphFont"/>
    <w:link w:val="Style1"/>
    <w:rPr>
      <w:rFonts w:ascii="Times New Roman" w:eastAsia="Malgun Gothic" w:hAnsi="Times New Roman" w:cs="Batang"/>
      <w:lang w:val="en-GB"/>
    </w:rPr>
  </w:style>
  <w:style w:type="paragraph" w:customStyle="1" w:styleId="MTDisplayEquation">
    <w:name w:val="MTDisplayEquation"/>
    <w:basedOn w:val="Normal"/>
    <w:next w:val="Normal"/>
    <w:link w:val="MTDisplayEquationCar"/>
    <w:pPr>
      <w:tabs>
        <w:tab w:val="center" w:pos="5160"/>
        <w:tab w:val="right" w:pos="10340"/>
      </w:tabs>
      <w:overflowPunct/>
      <w:autoSpaceDE/>
      <w:autoSpaceDN/>
      <w:adjustRightInd/>
      <w:spacing w:before="60" w:after="60"/>
      <w:jc w:val="left"/>
      <w:textAlignment w:val="auto"/>
    </w:pPr>
    <w:rPr>
      <w:rFonts w:eastAsia="MS Gothic" w:cs="Arial"/>
      <w:color w:val="000000"/>
      <w:sz w:val="24"/>
      <w:szCs w:val="24"/>
      <w:lang w:val="en-US" w:eastAsia="ja-JP"/>
    </w:rPr>
  </w:style>
  <w:style w:type="character" w:customStyle="1" w:styleId="MTDisplayEquationCar">
    <w:name w:val="MTDisplayEquation Car"/>
    <w:basedOn w:val="DefaultParagraphFont"/>
    <w:link w:val="MTDisplayEquation"/>
    <w:rPr>
      <w:rFonts w:ascii="Times New Roman" w:eastAsia="MS Gothic" w:hAnsi="Times New Roman" w:cs="Arial"/>
      <w:color w:val="000000"/>
      <w:sz w:val="24"/>
      <w:szCs w:val="24"/>
      <w:lang w:eastAsia="ja-JP"/>
    </w:rPr>
  </w:style>
  <w:style w:type="paragraph" w:customStyle="1" w:styleId="text">
    <w:name w:val="text"/>
    <w:basedOn w:val="Normal"/>
    <w:link w:val="textChar"/>
    <w:qFormat/>
    <w:pPr>
      <w:overflowPunct/>
      <w:autoSpaceDE/>
      <w:autoSpaceDN/>
      <w:adjustRightInd/>
      <w:spacing w:after="240"/>
      <w:textAlignment w:val="auto"/>
    </w:pPr>
    <w:rPr>
      <w:rFonts w:eastAsia="MS Gothic"/>
      <w:sz w:val="24"/>
      <w:lang w:val="en-US" w:eastAsia="ja-JP"/>
    </w:rPr>
  </w:style>
  <w:style w:type="character" w:customStyle="1" w:styleId="textChar">
    <w:name w:val="text Char"/>
    <w:link w:val="text"/>
    <w:rPr>
      <w:rFonts w:ascii="Times New Roman" w:eastAsia="MS Gothic" w:hAnsi="Times New Roman"/>
      <w:sz w:val="24"/>
      <w:lang w:eastAsia="ja-JP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46FC1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theme="minorBidi"/>
      <w:sz w:val="22"/>
      <w:szCs w:val="21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46FC1"/>
    <w:rPr>
      <w:rFonts w:ascii="Calibri" w:eastAsiaTheme="minorHAnsi" w:hAnsi="Calibri" w:cstheme="minorBidi"/>
      <w:sz w:val="22"/>
      <w:szCs w:val="21"/>
      <w:lang w:val="fr-FR" w:eastAsia="en-US"/>
    </w:rPr>
  </w:style>
  <w:style w:type="character" w:styleId="PlaceholderText">
    <w:name w:val="Placeholder Text"/>
    <w:basedOn w:val="DefaultParagraphFont"/>
    <w:uiPriority w:val="99"/>
    <w:semiHidden/>
    <w:rsid w:val="007A6AE8"/>
    <w:rPr>
      <w:color w:val="808080"/>
    </w:rPr>
  </w:style>
  <w:style w:type="paragraph" w:styleId="ListParagraph">
    <w:name w:val="List Paragraph"/>
    <w:aliases w:val="- Bullets,リスト段落,列出段落"/>
    <w:basedOn w:val="Normal"/>
    <w:uiPriority w:val="34"/>
    <w:qFormat/>
    <w:rsid w:val="009549C6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361931"/>
    <w:rPr>
      <w:rFonts w:ascii="Times New Roman" w:eastAsia="Times New Roman" w:hAnsi="Times New Roman"/>
      <w:lang w:val="en-GB"/>
    </w:rPr>
  </w:style>
  <w:style w:type="paragraph" w:customStyle="1" w:styleId="RAN1bullet2">
    <w:name w:val="RAN1 bullet2"/>
    <w:basedOn w:val="Normal"/>
    <w:qFormat/>
    <w:rsid w:val="002D21E2"/>
    <w:pPr>
      <w:numPr>
        <w:ilvl w:val="1"/>
        <w:numId w:val="30"/>
      </w:numPr>
      <w:tabs>
        <w:tab w:val="left" w:pos="1440"/>
      </w:tabs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lang w:val="en-US" w:eastAsia="en-US"/>
    </w:rPr>
  </w:style>
  <w:style w:type="character" w:customStyle="1" w:styleId="Heading6Char">
    <w:name w:val="Heading 6 Char"/>
    <w:link w:val="Heading6"/>
    <w:rsid w:val="002D21E2"/>
    <w:rPr>
      <w:rFonts w:ascii="Times New Roman" w:eastAsia="Times New Roman" w:hAnsi="Times New Roman" w:cs="Arial"/>
      <w:lang w:val="en-GB"/>
    </w:rPr>
  </w:style>
  <w:style w:type="paragraph" w:customStyle="1" w:styleId="textintend1">
    <w:name w:val="text intend 1"/>
    <w:basedOn w:val="text"/>
    <w:rsid w:val="00034B48"/>
    <w:pPr>
      <w:numPr>
        <w:numId w:val="31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character" w:customStyle="1" w:styleId="THChar">
    <w:name w:val="TH Char"/>
    <w:link w:val="TH"/>
    <w:rsid w:val="00665A82"/>
    <w:rPr>
      <w:rFonts w:ascii="Times New Roman" w:eastAsia="Times New Roman" w:hAnsi="Times New Roman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6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4.bin"/><Relationship Id="rId34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image" Target="media/image6.wmf"/><Relationship Id="rId32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oleObject" Target="embeddings/oleObject8.bin"/><Relationship Id="rId10" Type="http://schemas.openxmlformats.org/officeDocument/2006/relationships/settings" Target="settings.xml"/><Relationship Id="rId19" Type="http://schemas.openxmlformats.org/officeDocument/2006/relationships/oleObject" Target="embeddings/oleObject3.bin"/><Relationship Id="rId31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wmf"/><Relationship Id="rId22" Type="http://schemas.openxmlformats.org/officeDocument/2006/relationships/image" Target="media/image5.wmf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ssngt\Documents\Custom%20Office%20Template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_dlc_DocId xmlns="08b2df90-05d3-4030-90d4-c9feeb4a1cd9">5NUHHDQN7SK2-1-116459</_dlc_DocId>
    <TaxCatchAll xmlns="08b2df90-05d3-4030-90d4-c9feeb4a1cd9">
      <Value>10</Value>
      <Value>9</Value>
      <Value>8</Value>
      <Value>2</Value>
      <Value>1</Value>
    </TaxCatchAll>
    <_dlc_DocIdUrl xmlns="08b2df90-05d3-4030-90d4-c9feeb4a1cd9">
      <Url>https://ericoll.internal.ericsson.com/sites/STAR/_layouts/DocIdRedir.aspx?ID=5NUHHDQN7SK2-1-116459</Url>
      <Description>5NUHHDQN7SK2-1-116459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95ADB-4992-4D79-BB1A-9381240871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2CBB7E-7BE9-4F40-B549-0318D6854F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BD6367-02C0-4FDD-9450-66B87E7AE76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1880710-01DE-4127-9119-DA8251BAEC9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4DBC37C-748D-4B86-87E4-89E766AA4C1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08b2df90-05d3-4030-90d4-c9feeb4a1cd9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09898AC7-97CE-4F16-B2A4-861695771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181</TotalTime>
  <Pages>3</Pages>
  <Words>975</Words>
  <Characters>5170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Ericsson</vt:lpstr>
      <vt:lpstr>Ericsson</vt:lpstr>
      <vt:lpstr>Ericsson</vt:lpstr>
    </vt:vector>
  </TitlesOfParts>
  <Company>Ericsson</Company>
  <LinksUpToDate>false</LinksUpToDate>
  <CharactersWithSpaces>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Stephen Grant</dc:creator>
  <cp:keywords>3GPP; Ericsson; TDoc</cp:keywords>
  <dc:description/>
  <cp:lastModifiedBy>Mattias Frenne</cp:lastModifiedBy>
  <cp:revision>11</cp:revision>
  <cp:lastPrinted>2008-01-31T15:09:00Z</cp:lastPrinted>
  <dcterms:created xsi:type="dcterms:W3CDTF">2018-03-01T16:00:00Z</dcterms:created>
  <dcterms:modified xsi:type="dcterms:W3CDTF">2018-03-02T14:23:00Z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dlc_DocIdItemGuid">
    <vt:lpwstr>9dffc113-3317-4067-b927-a4065e2e392d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2;#GFTE ER Radio Access Technologies|692a7af5-c1f7-4d68-b1ab-a7920dfecb78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KSOProductBuildVer">
    <vt:lpwstr>2052-10.8.0.6206</vt:lpwstr>
  </property>
  <property fmtid="{D5CDD505-2E9C-101B-9397-08002B2CF9AE}" pid="15" name="TitusGUID">
    <vt:lpwstr>beb97dd2-012e-4330-a8c4-a70b959d0429</vt:lpwstr>
  </property>
  <property fmtid="{D5CDD505-2E9C-101B-9397-08002B2CF9AE}" pid="16" name="CTPClassification">
    <vt:lpwstr>CTP_NT</vt:lpwstr>
  </property>
  <property fmtid="{D5CDD505-2E9C-101B-9397-08002B2CF9AE}" pid="17" name="_NewReviewCycle">
    <vt:lpwstr/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1519850948</vt:lpwstr>
  </property>
  <property fmtid="{D5CDD505-2E9C-101B-9397-08002B2CF9AE}" pid="22" name="_AdHocReviewCycleID">
    <vt:i4>1455978982</vt:i4>
  </property>
  <property fmtid="{D5CDD505-2E9C-101B-9397-08002B2CF9AE}" pid="23" name="_EmailSubject">
    <vt:lpwstr>[NR MIMO and RS #92] Draft summary of PT-RS</vt:lpwstr>
  </property>
  <property fmtid="{D5CDD505-2E9C-101B-9397-08002B2CF9AE}" pid="24" name="_AuthorEmail">
    <vt:lpwstr>C.Ciochina@fr.merce.mee.com</vt:lpwstr>
  </property>
  <property fmtid="{D5CDD505-2E9C-101B-9397-08002B2CF9AE}" pid="25" name="_AuthorEmailDisplayName">
    <vt:lpwstr>Cristina Ciochina</vt:lpwstr>
  </property>
  <property fmtid="{D5CDD505-2E9C-101B-9397-08002B2CF9AE}" pid="26" name="_ReviewingToolsShownOnce">
    <vt:lpwstr/>
  </property>
</Properties>
</file>